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086DD5" w:rsidTr="00096308">
        <w:tc>
          <w:tcPr>
            <w:tcW w:w="2694" w:type="dxa"/>
          </w:tcPr>
          <w:p w:rsidR="00086DD5" w:rsidRDefault="00086DD5" w:rsidP="00096308">
            <w:r>
              <w:rPr>
                <w:noProof/>
              </w:rPr>
              <w:drawing>
                <wp:inline distT="0" distB="0" distL="0" distR="0" wp14:anchorId="446EE677" wp14:editId="6D8C4D67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086DD5" w:rsidRDefault="00086DD5" w:rsidP="00096308">
            <w:pPr>
              <w:jc w:val="center"/>
            </w:pPr>
          </w:p>
          <w:p w:rsidR="00086DD5" w:rsidRDefault="00086DD5" w:rsidP="00096308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086DD5" w:rsidRDefault="00086DD5" w:rsidP="00096308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086DD5" w:rsidRDefault="00086DD5" w:rsidP="00096308">
            <w:pPr>
              <w:jc w:val="center"/>
            </w:pPr>
            <w:r>
              <w:t>«Тольяттинский политехнический колледж»</w:t>
            </w:r>
          </w:p>
          <w:p w:rsidR="00086DD5" w:rsidRDefault="00086DD5" w:rsidP="00096308">
            <w:pPr>
              <w:jc w:val="center"/>
            </w:pPr>
            <w:r>
              <w:t>(ГБПОУ СО «ТПК»)</w:t>
            </w:r>
          </w:p>
          <w:p w:rsidR="00086DD5" w:rsidRDefault="00086DD5" w:rsidP="00096308"/>
        </w:tc>
      </w:tr>
    </w:tbl>
    <w:tbl>
      <w:tblPr>
        <w:tblStyle w:val="15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7E7087" w:rsidRPr="007E7087" w:rsidTr="007B64DA">
        <w:tc>
          <w:tcPr>
            <w:tcW w:w="4786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  <w:p w:rsidR="007E7087" w:rsidRPr="007E7087" w:rsidRDefault="007E7087" w:rsidP="007E7087">
            <w:pPr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 xml:space="preserve">Утверждено </w:t>
            </w:r>
          </w:p>
          <w:p w:rsidR="007E7087" w:rsidRPr="007E7087" w:rsidRDefault="007E7087" w:rsidP="007E7087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>Советом учреждения</w:t>
            </w:r>
          </w:p>
          <w:p w:rsidR="007E7087" w:rsidRPr="007E7087" w:rsidRDefault="007E7087" w:rsidP="007E7087">
            <w:pPr>
              <w:rPr>
                <w:bCs/>
                <w:spacing w:val="6"/>
              </w:rPr>
            </w:pPr>
            <w:r w:rsidRPr="007E7087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7E7087" w:rsidRPr="007E7087" w:rsidRDefault="007E7087" w:rsidP="007E7087">
            <w:pPr>
              <w:rPr>
                <w:bCs/>
                <w:spacing w:val="6"/>
              </w:rPr>
            </w:pPr>
            <w:r w:rsidRPr="007E7087">
              <w:rPr>
                <w:bCs/>
                <w:spacing w:val="6"/>
              </w:rPr>
              <w:t>№ 13 от «01» июня 2021г.</w:t>
            </w:r>
          </w:p>
          <w:p w:rsidR="007E7087" w:rsidRPr="007E7087" w:rsidRDefault="007E7087" w:rsidP="007E7087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  <w:p w:rsidR="007E7087" w:rsidRPr="007E7087" w:rsidRDefault="007E7087" w:rsidP="007E7087">
            <w:pPr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>Утверждено</w:t>
            </w:r>
          </w:p>
          <w:p w:rsidR="007E7087" w:rsidRPr="007E7087" w:rsidRDefault="007E7087" w:rsidP="007E7087">
            <w:pPr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 xml:space="preserve"> </w:t>
            </w:r>
          </w:p>
          <w:p w:rsidR="007E7087" w:rsidRPr="007E7087" w:rsidRDefault="007E7087" w:rsidP="007E7087">
            <w:pPr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7E7087" w:rsidRPr="007E7087" w:rsidRDefault="007E7087" w:rsidP="007E7087">
            <w:pPr>
              <w:rPr>
                <w:b/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 xml:space="preserve">«01» июня 2021 </w:t>
            </w:r>
          </w:p>
          <w:p w:rsidR="007E7087" w:rsidRPr="007E7087" w:rsidRDefault="007E7087" w:rsidP="007E7087">
            <w:pPr>
              <w:rPr>
                <w:bCs/>
                <w:spacing w:val="6"/>
              </w:rPr>
            </w:pPr>
            <w:r w:rsidRPr="007E7087">
              <w:rPr>
                <w:b/>
                <w:bCs/>
                <w:spacing w:val="6"/>
              </w:rPr>
              <w:t xml:space="preserve"> </w:t>
            </w:r>
            <w:r w:rsidRPr="007E7087">
              <w:rPr>
                <w:bCs/>
                <w:spacing w:val="6"/>
              </w:rPr>
              <w:t>И.о. директора  ГБПОУ СО «ТПК»</w:t>
            </w:r>
          </w:p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  <w:r w:rsidRPr="007E7087">
              <w:rPr>
                <w:bCs/>
                <w:spacing w:val="6"/>
              </w:rPr>
              <w:t>_____________ Е.А. Перелыгин</w:t>
            </w:r>
          </w:p>
        </w:tc>
      </w:tr>
      <w:tr w:rsidR="007E7087" w:rsidRPr="007E7087" w:rsidTr="007B64DA">
        <w:tc>
          <w:tcPr>
            <w:tcW w:w="4786" w:type="dxa"/>
            <w:vAlign w:val="center"/>
          </w:tcPr>
          <w:p w:rsidR="007E7087" w:rsidRPr="007E7087" w:rsidRDefault="007E7087" w:rsidP="007E7087">
            <w:r w:rsidRPr="007E7087">
              <w:t>с учетом мнения</w:t>
            </w:r>
          </w:p>
          <w:p w:rsidR="007E7087" w:rsidRPr="007E7087" w:rsidRDefault="007E7087" w:rsidP="007E7087">
            <w:r w:rsidRPr="007E7087">
              <w:t>Студенческого совета</w:t>
            </w:r>
          </w:p>
          <w:p w:rsidR="007E7087" w:rsidRPr="007E7087" w:rsidRDefault="007E7087" w:rsidP="007E7087">
            <w:r w:rsidRPr="007E7087">
              <w:t xml:space="preserve">Протокол от </w:t>
            </w:r>
            <w:r w:rsidRPr="007E7087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</w:tr>
      <w:tr w:rsidR="007E7087" w:rsidRPr="007E7087" w:rsidTr="007B64DA">
        <w:tc>
          <w:tcPr>
            <w:tcW w:w="4786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E7087" w:rsidRPr="007E7087" w:rsidRDefault="007E7087" w:rsidP="007E7087">
            <w:pPr>
              <w:jc w:val="both"/>
              <w:rPr>
                <w:sz w:val="26"/>
                <w:szCs w:val="26"/>
              </w:rPr>
            </w:pPr>
          </w:p>
        </w:tc>
      </w:tr>
    </w:tbl>
    <w:p w:rsidR="00086DD5" w:rsidRDefault="00086DD5" w:rsidP="00086DD5">
      <w:pPr>
        <w:jc w:val="center"/>
        <w:rPr>
          <w:sz w:val="28"/>
          <w:szCs w:val="28"/>
        </w:rPr>
      </w:pPr>
    </w:p>
    <w:p w:rsidR="00704267" w:rsidRDefault="00704267" w:rsidP="00086DD5">
      <w:pPr>
        <w:jc w:val="center"/>
        <w:rPr>
          <w:sz w:val="28"/>
          <w:szCs w:val="28"/>
        </w:rPr>
      </w:pPr>
    </w:p>
    <w:p w:rsidR="00704267" w:rsidRPr="00BA6381" w:rsidRDefault="00704267" w:rsidP="00086DD5">
      <w:pPr>
        <w:jc w:val="center"/>
        <w:rPr>
          <w:sz w:val="28"/>
          <w:szCs w:val="28"/>
        </w:rPr>
      </w:pPr>
      <w:bookmarkStart w:id="0" w:name="_GoBack"/>
      <w:bookmarkEnd w:id="0"/>
    </w:p>
    <w:p w:rsidR="00086DD5" w:rsidRPr="00BA6381" w:rsidRDefault="00086DD5" w:rsidP="00086DD5">
      <w:pPr>
        <w:jc w:val="both"/>
      </w:pPr>
    </w:p>
    <w:p w:rsidR="00086DD5" w:rsidRPr="00BA6381" w:rsidRDefault="00086DD5" w:rsidP="00086DD5">
      <w:pPr>
        <w:jc w:val="center"/>
        <w:rPr>
          <w:b/>
          <w:sz w:val="32"/>
          <w:szCs w:val="32"/>
        </w:rPr>
      </w:pPr>
      <w:r w:rsidRPr="00BA6381">
        <w:rPr>
          <w:b/>
          <w:sz w:val="32"/>
          <w:szCs w:val="32"/>
        </w:rPr>
        <w:t>РАБОЧАЯ ПРОГРАММА ВОСПИТАНИЯ</w:t>
      </w: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8875D8" w:rsidP="00086DD5">
      <w:pPr>
        <w:jc w:val="center"/>
        <w:rPr>
          <w:rFonts w:eastAsia="SimSun"/>
          <w:sz w:val="28"/>
          <w:szCs w:val="28"/>
        </w:rPr>
      </w:pPr>
      <w:r w:rsidRPr="008875D8">
        <w:rPr>
          <w:rFonts w:eastAsia="SimSun"/>
          <w:sz w:val="28"/>
          <w:szCs w:val="28"/>
        </w:rPr>
        <w:t>40.02.01 Право и организация социального обеспечения</w:t>
      </w:r>
      <w:r w:rsidR="00086DD5">
        <w:rPr>
          <w:rFonts w:eastAsia="SimSun"/>
          <w:sz w:val="28"/>
          <w:szCs w:val="28"/>
        </w:rPr>
        <w:t>.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CD3949" w:rsidRDefault="00CD3949" w:rsidP="00086DD5">
      <w:pPr>
        <w:jc w:val="center"/>
        <w:rPr>
          <w:rFonts w:eastAsia="SimSun"/>
          <w:sz w:val="28"/>
          <w:szCs w:val="28"/>
        </w:rPr>
      </w:pPr>
    </w:p>
    <w:p w:rsidR="00CD3949" w:rsidRPr="00BA6381" w:rsidRDefault="00CD3949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Pr="00BA6381">
        <w:rPr>
          <w:rFonts w:eastAsia="SimSun"/>
          <w:sz w:val="28"/>
          <w:szCs w:val="28"/>
        </w:rPr>
        <w:t>, 202</w:t>
      </w:r>
      <w:r w:rsidR="00CD3949">
        <w:rPr>
          <w:rFonts w:eastAsia="SimSun"/>
          <w:sz w:val="28"/>
          <w:szCs w:val="28"/>
        </w:rPr>
        <w:t>1</w:t>
      </w: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Pr="00BA6381" w:rsidRDefault="00086DD5" w:rsidP="00086DD5">
      <w:pPr>
        <w:ind w:firstLine="567"/>
        <w:jc w:val="both"/>
        <w:rPr>
          <w:i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="008875D8">
        <w:rPr>
          <w:sz w:val="28"/>
          <w:szCs w:val="28"/>
        </w:rPr>
        <w:t>Пугачева Ю.Е.</w:t>
      </w:r>
      <w:r w:rsidRPr="00BA6381">
        <w:rPr>
          <w:sz w:val="28"/>
          <w:szCs w:val="28"/>
        </w:rPr>
        <w:t xml:space="preserve"> Рабочая программа воспитания по специальности </w:t>
      </w:r>
      <w:r w:rsidR="008875D8" w:rsidRPr="008875D8">
        <w:rPr>
          <w:sz w:val="28"/>
          <w:szCs w:val="28"/>
        </w:rPr>
        <w:t xml:space="preserve">40.02.01 Право и организация социального обеспечения </w:t>
      </w:r>
      <w:r w:rsidRPr="00BA6381">
        <w:rPr>
          <w:sz w:val="28"/>
          <w:szCs w:val="28"/>
        </w:rPr>
        <w:t>– г</w:t>
      </w:r>
      <w:r>
        <w:rPr>
          <w:sz w:val="28"/>
          <w:szCs w:val="28"/>
        </w:rPr>
        <w:t>.Тольятти</w:t>
      </w:r>
      <w:r w:rsidRPr="00BA6381">
        <w:rPr>
          <w:sz w:val="28"/>
          <w:szCs w:val="28"/>
        </w:rPr>
        <w:t xml:space="preserve">, </w:t>
      </w:r>
      <w:r w:rsidR="008875D8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СО Тольяттинский политехнический колледж</w:t>
      </w:r>
      <w:r w:rsidRPr="00BA6381">
        <w:rPr>
          <w:sz w:val="28"/>
          <w:szCs w:val="28"/>
        </w:rPr>
        <w:t>, 202</w:t>
      </w:r>
      <w:r w:rsidR="00CD3949">
        <w:rPr>
          <w:sz w:val="28"/>
          <w:szCs w:val="28"/>
        </w:rPr>
        <w:t>1</w:t>
      </w:r>
      <w:r w:rsidRPr="00BA6381">
        <w:rPr>
          <w:sz w:val="28"/>
          <w:szCs w:val="28"/>
        </w:rPr>
        <w:t xml:space="preserve">. – </w:t>
      </w:r>
      <w:r w:rsidR="00626ACD">
        <w:rPr>
          <w:sz w:val="28"/>
          <w:szCs w:val="28"/>
        </w:rPr>
        <w:t>32</w:t>
      </w:r>
      <w:r w:rsidRPr="00BA6381">
        <w:rPr>
          <w:sz w:val="28"/>
          <w:szCs w:val="28"/>
        </w:rPr>
        <w:t xml:space="preserve"> с.</w:t>
      </w:r>
    </w:p>
    <w:p w:rsidR="00086DD5" w:rsidRPr="00BA6381" w:rsidRDefault="00086DD5" w:rsidP="00086DD5">
      <w:pPr>
        <w:ind w:firstLine="567"/>
        <w:jc w:val="both"/>
        <w:rPr>
          <w:sz w:val="16"/>
          <w:szCs w:val="16"/>
        </w:rPr>
      </w:pPr>
    </w:p>
    <w:p w:rsidR="00086DD5" w:rsidRPr="00BA6381" w:rsidRDefault="00086DD5" w:rsidP="00C8353D">
      <w:pPr>
        <w:ind w:firstLine="567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Рабочая программа воспитания по специальности </w:t>
      </w:r>
      <w:r w:rsidR="008875D8" w:rsidRPr="008875D8">
        <w:rPr>
          <w:sz w:val="28"/>
          <w:szCs w:val="28"/>
        </w:rPr>
        <w:t>40.02.01 Право и организация социального обеспечения</w:t>
      </w:r>
      <w:r w:rsidRPr="00BA6381">
        <w:rPr>
          <w:sz w:val="28"/>
          <w:szCs w:val="28"/>
        </w:rPr>
        <w:t xml:space="preserve"> разработана в соответствии с </w:t>
      </w:r>
      <w:r w:rsidRPr="00BA6381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BA6381">
        <w:rPr>
          <w:sz w:val="28"/>
          <w:szCs w:val="28"/>
        </w:rPr>
        <w:t xml:space="preserve">по </w:t>
      </w:r>
      <w:r w:rsidRPr="00BA6381">
        <w:rPr>
          <w:spacing w:val="-1"/>
          <w:sz w:val="28"/>
          <w:szCs w:val="28"/>
        </w:rPr>
        <w:t xml:space="preserve">специальности </w:t>
      </w:r>
      <w:r w:rsidR="008875D8" w:rsidRPr="008875D8">
        <w:rPr>
          <w:sz w:val="28"/>
          <w:szCs w:val="28"/>
        </w:rPr>
        <w:t>40.02.01 Право и организация социального обеспечения</w:t>
      </w:r>
      <w:r w:rsidRPr="00BA6381">
        <w:rPr>
          <w:sz w:val="28"/>
          <w:szCs w:val="28"/>
        </w:rPr>
        <w:t xml:space="preserve">, </w:t>
      </w:r>
      <w:r w:rsidRPr="00BA6381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BA6381">
        <w:rPr>
          <w:sz w:val="28"/>
          <w:szCs w:val="28"/>
        </w:rPr>
        <w:t xml:space="preserve">и </w:t>
      </w:r>
      <w:r w:rsidRPr="00BA6381">
        <w:rPr>
          <w:spacing w:val="-1"/>
          <w:sz w:val="28"/>
          <w:szCs w:val="28"/>
        </w:rPr>
        <w:t>науки Российской</w:t>
      </w:r>
      <w:r w:rsidRPr="001839ED">
        <w:rPr>
          <w:spacing w:val="-1"/>
          <w:sz w:val="28"/>
          <w:szCs w:val="28"/>
        </w:rPr>
        <w:t xml:space="preserve"> Федерации </w:t>
      </w:r>
      <w:r w:rsidRPr="00626ACD">
        <w:rPr>
          <w:spacing w:val="-1"/>
          <w:sz w:val="28"/>
          <w:szCs w:val="28"/>
        </w:rPr>
        <w:t>от</w:t>
      </w:r>
      <w:r w:rsidR="008875D8" w:rsidRPr="008875D8">
        <w:rPr>
          <w:spacing w:val="-1"/>
          <w:sz w:val="28"/>
          <w:szCs w:val="28"/>
        </w:rPr>
        <w:t xml:space="preserve"> 12 мая 2014 г. </w:t>
      </w:r>
      <w:r w:rsidR="008875D8">
        <w:rPr>
          <w:spacing w:val="-1"/>
          <w:sz w:val="28"/>
          <w:szCs w:val="28"/>
        </w:rPr>
        <w:t>№</w:t>
      </w:r>
      <w:r w:rsidR="008875D8" w:rsidRPr="008875D8">
        <w:rPr>
          <w:spacing w:val="-1"/>
          <w:sz w:val="28"/>
          <w:szCs w:val="28"/>
        </w:rPr>
        <w:t xml:space="preserve"> 508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A5090F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 w:rsidRPr="00BA6381">
        <w:rPr>
          <w:sz w:val="28"/>
          <w:szCs w:val="28"/>
          <w:lang w:val="ru-RU"/>
        </w:rPr>
        <w:t xml:space="preserve">Авторы-составители: 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Pr="00BA6381">
        <w:rPr>
          <w:sz w:val="28"/>
          <w:szCs w:val="28"/>
          <w:lang w:val="ru-RU"/>
        </w:rPr>
        <w:t>заместитель директора по воспитательной работе</w:t>
      </w:r>
    </w:p>
    <w:p w:rsidR="00086DD5" w:rsidRDefault="008875D8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 w:rsidRPr="008875D8">
        <w:rPr>
          <w:sz w:val="28"/>
          <w:szCs w:val="28"/>
        </w:rPr>
        <w:t>Пугачева Ю.Е.</w:t>
      </w:r>
      <w:r w:rsidR="00086DD5">
        <w:rPr>
          <w:sz w:val="28"/>
          <w:szCs w:val="28"/>
        </w:rPr>
        <w:t xml:space="preserve">, </w:t>
      </w:r>
      <w:r w:rsidR="00086DD5" w:rsidRPr="00BA6381">
        <w:rPr>
          <w:sz w:val="28"/>
          <w:szCs w:val="28"/>
          <w:lang w:val="ru-RU"/>
        </w:rPr>
        <w:t>преподаватель</w:t>
      </w:r>
      <w:r w:rsidR="00086DD5">
        <w:rPr>
          <w:sz w:val="28"/>
          <w:szCs w:val="28"/>
          <w:lang w:val="ru-RU"/>
        </w:rPr>
        <w:t>.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rPr>
          <w:sz w:val="16"/>
          <w:szCs w:val="16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>рабочей программы воспитания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 xml:space="preserve">по специальности </w:t>
      </w:r>
      <w:r w:rsidR="008875D8" w:rsidRPr="008875D8">
        <w:rPr>
          <w:rFonts w:ascii="Times New Roman" w:hAnsi="Times New Roman" w:cs="Times New Roman"/>
        </w:rPr>
        <w:t>40.02.01 Право и организация социального обеспечения</w:t>
      </w:r>
    </w:p>
    <w:p w:rsidR="00086DD5" w:rsidRPr="00BA6381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8875D8" w:rsidRDefault="006F3DA5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6DD5" w:rsidRPr="00BA6381">
        <w:rPr>
          <w:sz w:val="28"/>
          <w:szCs w:val="28"/>
        </w:rPr>
        <w:t xml:space="preserve">Рабочая программа воспитания по специальности </w:t>
      </w:r>
      <w:r w:rsidR="008875D8" w:rsidRPr="008875D8">
        <w:rPr>
          <w:rFonts w:eastAsia="SimSun"/>
          <w:sz w:val="28"/>
          <w:szCs w:val="28"/>
        </w:rPr>
        <w:t>40.02.01 Право и организация социального обеспечения</w:t>
      </w:r>
      <w:r>
        <w:rPr>
          <w:sz w:val="28"/>
          <w:szCs w:val="28"/>
        </w:rPr>
        <w:t xml:space="preserve"> </w:t>
      </w:r>
      <w:r w:rsidR="00086DD5" w:rsidRPr="006F3DA5">
        <w:rPr>
          <w:sz w:val="28"/>
          <w:szCs w:val="28"/>
        </w:rPr>
        <w:t xml:space="preserve">разработана с учетом: </w:t>
      </w:r>
      <w:r w:rsidR="00086DD5" w:rsidRPr="00BA6381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8875D8" w:rsidRPr="008875D8">
        <w:rPr>
          <w:sz w:val="28"/>
          <w:szCs w:val="28"/>
        </w:rPr>
        <w:t>40.02.01 Право и организация социального обеспечения</w:t>
      </w:r>
      <w:r w:rsidR="00086DD5" w:rsidRPr="00BA6381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="008875D8" w:rsidRPr="008875D8">
        <w:rPr>
          <w:sz w:val="28"/>
          <w:szCs w:val="28"/>
        </w:rPr>
        <w:t>от 12 мая 2014 г. N 508</w:t>
      </w:r>
    </w:p>
    <w:p w:rsidR="00086DD5" w:rsidRDefault="00C8353D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6DD5" w:rsidRPr="00BA6381">
        <w:rPr>
          <w:sz w:val="28"/>
          <w:szCs w:val="28"/>
        </w:rPr>
        <w:t xml:space="preserve">Рабочая программа предусматривает организацию воспитательной работы по 4 основным направлениям: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профессионально-личностное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гражданско-правовое и патриотическое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духовно-нравственное и культурно-эстетическое воспитание; </w:t>
      </w:r>
    </w:p>
    <w:p w:rsidR="00086DD5" w:rsidRPr="00BA6381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воспитание здорового образа жизни и экологической культуры.</w:t>
      </w:r>
    </w:p>
    <w:p w:rsidR="00086DD5" w:rsidRPr="00BA6381" w:rsidRDefault="00086DD5" w:rsidP="00086DD5">
      <w:pPr>
        <w:pStyle w:val="aff1"/>
        <w:tabs>
          <w:tab w:val="left" w:pos="709"/>
        </w:tabs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A6381"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BA6381">
        <w:rPr>
          <w:sz w:val="28"/>
          <w:szCs w:val="28"/>
        </w:rPr>
        <w:lastRenderedPageBreak/>
        <w:t>СОДЕРЖАНИЕ</w:t>
      </w:r>
      <w:r w:rsidRPr="00BA6381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1.2.</w:t>
            </w:r>
            <w:r w:rsidRPr="00BA6381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 xml:space="preserve">1.3. </w:t>
            </w:r>
            <w:r w:rsidRPr="00BA6381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086DD5" w:rsidP="00626AC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626AC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17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24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1.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29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2. Формирование общих компетенций на дисциплинах, </w:t>
            </w:r>
            <w:r w:rsidRPr="00A5090F">
              <w:rPr>
                <w:sz w:val="28"/>
                <w:szCs w:val="28"/>
              </w:rPr>
              <w:t xml:space="preserve">   </w:t>
            </w:r>
            <w:r w:rsidRPr="00BA6381">
              <w:rPr>
                <w:sz w:val="28"/>
                <w:szCs w:val="28"/>
              </w:rPr>
              <w:t>модулях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31</w:t>
            </w:r>
          </w:p>
        </w:tc>
      </w:tr>
    </w:tbl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BA6381">
        <w:rPr>
          <w:sz w:val="28"/>
          <w:szCs w:val="28"/>
        </w:rPr>
        <w:br w:type="page"/>
      </w:r>
      <w:r w:rsidRPr="00BA6381">
        <w:rPr>
          <w:b/>
          <w:sz w:val="28"/>
          <w:szCs w:val="28"/>
        </w:rPr>
        <w:lastRenderedPageBreak/>
        <w:t xml:space="preserve">1. </w:t>
      </w:r>
      <w:r w:rsidRPr="00BA6381">
        <w:rPr>
          <w:b/>
          <w:sz w:val="28"/>
          <w:szCs w:val="28"/>
          <w:lang w:val="ru-RU"/>
        </w:rPr>
        <w:t>ОБЩАЯ ХАРАКТЕРИСТИКА</w:t>
      </w:r>
      <w:r w:rsidRPr="00BA6381">
        <w:rPr>
          <w:b/>
          <w:sz w:val="28"/>
          <w:szCs w:val="28"/>
        </w:rPr>
        <w:t xml:space="preserve"> РАБОЧЕЙ ПРОГРАММЫ </w:t>
      </w:r>
    </w:p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86DD5" w:rsidRPr="00BA6381" w:rsidRDefault="00086DD5" w:rsidP="00086DD5">
      <w:pPr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1.1. Область применения рабочей программы </w:t>
      </w:r>
    </w:p>
    <w:p w:rsidR="00086DD5" w:rsidRPr="00BA6381" w:rsidRDefault="00086DD5" w:rsidP="00086DD5">
      <w:pPr>
        <w:ind w:firstLine="567"/>
        <w:jc w:val="both"/>
        <w:rPr>
          <w:color w:val="FF0000"/>
          <w:sz w:val="28"/>
          <w:szCs w:val="28"/>
        </w:rPr>
      </w:pPr>
    </w:p>
    <w:p w:rsidR="00C8353D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7677"/>
      <w:bookmarkStart w:id="3" w:name="_Toc366618374"/>
      <w:r w:rsidRPr="00BA6381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8875D8" w:rsidRPr="008875D8">
        <w:rPr>
          <w:sz w:val="28"/>
          <w:szCs w:val="28"/>
        </w:rPr>
        <w:t>40.02.01 Право и организация социального обеспечения</w:t>
      </w:r>
    </w:p>
    <w:p w:rsidR="008875D8" w:rsidRPr="00BA6381" w:rsidRDefault="008875D8" w:rsidP="00086DD5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</w:p>
    <w:p w:rsidR="00086DD5" w:rsidRPr="00BA6381" w:rsidRDefault="00086DD5" w:rsidP="00086DD5">
      <w:pPr>
        <w:pStyle w:val="Style12"/>
        <w:jc w:val="center"/>
        <w:rPr>
          <w:b/>
          <w:bCs/>
          <w:iCs/>
          <w:sz w:val="28"/>
          <w:szCs w:val="28"/>
        </w:rPr>
      </w:pPr>
      <w:r w:rsidRPr="00BA6381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086DD5" w:rsidRPr="00BA6381" w:rsidRDefault="00086DD5" w:rsidP="00086DD5">
      <w:pPr>
        <w:pStyle w:val="Style12"/>
        <w:jc w:val="center"/>
        <w:rPr>
          <w:bCs/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8875D8" w:rsidRPr="008875D8">
        <w:rPr>
          <w:sz w:val="28"/>
          <w:szCs w:val="28"/>
        </w:rPr>
        <w:t xml:space="preserve">40.02.01 Право и организация социального обеспечения </w:t>
      </w:r>
      <w:r w:rsidRPr="00BA6381">
        <w:rPr>
          <w:sz w:val="28"/>
          <w:szCs w:val="28"/>
        </w:rPr>
        <w:t xml:space="preserve">составляют: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Конституция Российской Федерации;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BA6381">
        <w:rPr>
          <w:rStyle w:val="FontStyle43"/>
          <w:sz w:val="28"/>
          <w:szCs w:val="28"/>
        </w:rPr>
        <w:t>Конвенция ООН о правах ребенка;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BF2719" w:rsidRPr="00BF2719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Изменения, внесённые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086DD5" w:rsidRPr="00BF2719" w:rsidRDefault="00086DD5" w:rsidP="00107A6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Приказ Министерства образования и науки Российской Федерации </w:t>
      </w:r>
      <w:r w:rsidR="00B337CB">
        <w:rPr>
          <w:rFonts w:ascii="Verdana" w:hAnsi="Verdana"/>
          <w:i/>
          <w:iCs/>
          <w:color w:val="000000"/>
          <w:sz w:val="20"/>
          <w:szCs w:val="20"/>
        </w:rPr>
        <w:t xml:space="preserve">от </w:t>
      </w:r>
      <w:r w:rsidR="00B337CB" w:rsidRPr="00B337CB">
        <w:rPr>
          <w:iCs/>
          <w:color w:val="000000"/>
          <w:sz w:val="28"/>
          <w:szCs w:val="28"/>
        </w:rPr>
        <w:t>12 мая 2014 г. N 508</w:t>
      </w:r>
      <w:r w:rsidR="00B337CB" w:rsidRPr="00BF2719">
        <w:rPr>
          <w:bCs/>
          <w:sz w:val="28"/>
          <w:szCs w:val="28"/>
        </w:rPr>
        <w:t xml:space="preserve"> </w:t>
      </w:r>
      <w:r w:rsidRPr="00BF2719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B337CB" w:rsidRPr="00B337CB">
        <w:rPr>
          <w:sz w:val="28"/>
          <w:szCs w:val="28"/>
        </w:rPr>
        <w:t>40.02.01 Право и организация социального обеспечения</w:t>
      </w:r>
      <w:r w:rsidR="00B337CB" w:rsidRPr="00BF2719">
        <w:rPr>
          <w:bCs/>
          <w:sz w:val="28"/>
          <w:szCs w:val="28"/>
        </w:rPr>
        <w:t xml:space="preserve"> </w:t>
      </w:r>
      <w:r w:rsidRPr="00BF2719">
        <w:rPr>
          <w:bCs/>
          <w:sz w:val="28"/>
          <w:szCs w:val="28"/>
        </w:rPr>
        <w:t xml:space="preserve">(далее – ФГОС СПО);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BC7A82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Федеральный закон "Об основных гарантиях прав ребенка в Российской Федерации",</w:t>
      </w:r>
    </w:p>
    <w:p w:rsid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 Федеральный закон "Об основах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системы профилактики безнадзорности и правонарушений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 xml:space="preserve">несовершеннолетних", </w:t>
      </w:r>
    </w:p>
    <w:p w:rsid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"О защите детей от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информации, причиняющей вред их здоровью и развитию",</w:t>
      </w:r>
    </w:p>
    <w:p w:rsidR="00BC7A82" w:rsidRPr="00107A64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«О государственной поддержке молодежных и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д</w:t>
      </w:r>
      <w:r w:rsidR="00BC7A82">
        <w:rPr>
          <w:bCs/>
          <w:sz w:val="28"/>
          <w:szCs w:val="28"/>
        </w:rPr>
        <w:t>етских общественных объединений"</w:t>
      </w:r>
    </w:p>
    <w:p w:rsidR="00BC7A82" w:rsidRP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lastRenderedPageBreak/>
        <w:t>Национальный проект «Образование», Федеральные проекты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«Молодые профессионалы», «Социальная активность».</w:t>
      </w:r>
    </w:p>
    <w:p w:rsidR="00BF2719" w:rsidRP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ind w:hanging="11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Федеральный закон «О противодействии экстремистской</w:t>
      </w:r>
    </w:p>
    <w:p w:rsidR="00BF2719" w:rsidRDefault="00BF2719" w:rsidP="00BC7A82">
      <w:pPr>
        <w:pStyle w:val="Style12"/>
        <w:tabs>
          <w:tab w:val="left" w:pos="993"/>
        </w:tabs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деятельности», Федеральный закон «О противодействии терроризму», Указ Президента Российской Федерации «О мерах по противодействию терроризму», Федеральная целевая программа «Формирование установок толерантного сознания и профилактики экстремизма в российском обществе»;</w:t>
      </w:r>
    </w:p>
    <w:p w:rsidR="00086DD5" w:rsidRDefault="00BC7A82" w:rsidP="00107A64">
      <w:pPr>
        <w:pStyle w:val="Style1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</w:t>
      </w:r>
      <w:r w:rsidR="00BF2719" w:rsidRPr="00BF2719">
        <w:rPr>
          <w:bCs/>
          <w:sz w:val="28"/>
          <w:szCs w:val="28"/>
        </w:rPr>
        <w:t>«Об охране окружающей среды»</w:t>
      </w:r>
      <w:r>
        <w:rPr>
          <w:bCs/>
          <w:sz w:val="28"/>
          <w:szCs w:val="28"/>
        </w:rPr>
        <w:t xml:space="preserve">, Федеральный закон «Об отходах </w:t>
      </w:r>
      <w:r w:rsidR="00BF2719" w:rsidRPr="00BF2719">
        <w:rPr>
          <w:bCs/>
          <w:sz w:val="28"/>
          <w:szCs w:val="28"/>
        </w:rPr>
        <w:t>производства и потребления</w:t>
      </w:r>
      <w:r>
        <w:rPr>
          <w:bCs/>
          <w:sz w:val="28"/>
          <w:szCs w:val="28"/>
        </w:rPr>
        <w:t xml:space="preserve">», Федеральный закон «Об охране </w:t>
      </w:r>
      <w:r w:rsidR="00BF2719" w:rsidRPr="00BF2719">
        <w:rPr>
          <w:bCs/>
          <w:sz w:val="28"/>
          <w:szCs w:val="28"/>
        </w:rPr>
        <w:t>атмосферного воздуха</w:t>
      </w:r>
      <w:r>
        <w:rPr>
          <w:bCs/>
          <w:sz w:val="28"/>
          <w:szCs w:val="28"/>
        </w:rPr>
        <w:t>»</w:t>
      </w:r>
    </w:p>
    <w:p w:rsidR="00BC7A82" w:rsidRPr="00BA6381" w:rsidRDefault="00BC7A82" w:rsidP="00BC7A82">
      <w:pPr>
        <w:pStyle w:val="Style12"/>
        <w:tabs>
          <w:tab w:val="left" w:pos="993"/>
        </w:tabs>
        <w:ind w:left="720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достижения цели поставлены следующие ЗАДАЧИ: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B337CB">
        <w:rPr>
          <w:sz w:val="28"/>
          <w:szCs w:val="28"/>
        </w:rPr>
        <w:lastRenderedPageBreak/>
        <w:t>повышение квалификации.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B337CB" w:rsidRPr="00B337CB" w:rsidRDefault="00B337CB" w:rsidP="00B337CB">
      <w:pPr>
        <w:pStyle w:val="Style12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086DD5" w:rsidRDefault="00B337CB" w:rsidP="00B337C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337CB">
        <w:rPr>
          <w:sz w:val="28"/>
          <w:szCs w:val="28"/>
        </w:rPr>
        <w:t>ОК 12. Проявлять нетерпимость к коррупционному поведению.</w:t>
      </w:r>
      <w:r w:rsidR="00086DD5" w:rsidRPr="00BA6381">
        <w:rPr>
          <w:sz w:val="28"/>
          <w:szCs w:val="28"/>
        </w:rPr>
        <w:t>.</w:t>
      </w:r>
    </w:p>
    <w:p w:rsidR="00626ACD" w:rsidRPr="00BA6381" w:rsidRDefault="00626ACD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626ACD">
        <w:rPr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 w:rsidR="00626ACD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</w:t>
      </w:r>
    </w:p>
    <w:p w:rsidR="00626ACD" w:rsidRPr="00626ACD" w:rsidRDefault="00626ACD" w:rsidP="00086DD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</w:t>
      </w:r>
      <w:r w:rsidRPr="00BA6381">
        <w:rPr>
          <w:sz w:val="28"/>
          <w:szCs w:val="28"/>
        </w:rPr>
        <w:t>Готовность к служению Отечеству, его защите;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6381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9) Готовность и способность к образованию, в том числе самообразованию, на протяжении всей жизни; сознательное отношение к </w:t>
      </w:r>
      <w:r w:rsidRPr="00BA6381">
        <w:rPr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6381">
        <w:rPr>
          <w:vertAlign w:val="superscript"/>
        </w:rPr>
        <w:footnoteReference w:id="1"/>
      </w:r>
      <w:r w:rsidRPr="00BA6381">
        <w:rPr>
          <w:sz w:val="28"/>
          <w:szCs w:val="28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владеющий основами научных методов познания окружающего мира;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творчество и инновационную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086DD5" w:rsidRPr="00BA6381" w:rsidRDefault="00086DD5" w:rsidP="00086DD5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ind w:firstLine="567"/>
        <w:jc w:val="both"/>
        <w:rPr>
          <w:rFonts w:eastAsia="№Е"/>
          <w:sz w:val="28"/>
          <w:szCs w:val="28"/>
        </w:rPr>
      </w:pPr>
      <w:r w:rsidRPr="00BA6381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BA6381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Pr="00BA6381">
        <w:rPr>
          <w:rStyle w:val="a6"/>
          <w:rFonts w:eastAsia="№Е"/>
          <w:b/>
          <w:sz w:val="28"/>
          <w:szCs w:val="28"/>
        </w:rPr>
        <w:footnoteReference w:id="2"/>
      </w:r>
      <w:r w:rsidRPr="00BA6381">
        <w:rPr>
          <w:rFonts w:eastAsia="№Е"/>
          <w:sz w:val="28"/>
          <w:szCs w:val="28"/>
        </w:rPr>
        <w:t xml:space="preserve">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заботу о своей семье, родных и близких;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086DD5" w:rsidRPr="00BA6381" w:rsidRDefault="00086DD5" w:rsidP="00086DD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ОБЩИЕ: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BA6381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Pr="00BA6381">
        <w:rPr>
          <w:b/>
          <w:sz w:val="28"/>
          <w:szCs w:val="28"/>
          <w:lang w:eastAsia="x-none"/>
        </w:rPr>
        <w:t>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Ценностными основами воспитательной работы служат уважение к личности обучающегося, сохранение его психического и нравственного </w:t>
      </w:r>
      <w:r w:rsidRPr="00BA6381">
        <w:rPr>
          <w:sz w:val="28"/>
          <w:szCs w:val="28"/>
        </w:rPr>
        <w:lastRenderedPageBreak/>
        <w:t>благополучия, ценностных ориентаций, личностное развитие и профессиональное становление.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Основными направлениями воспитательной работы являются: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AD20D4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учебной деятельности задачи профессионально-лично</w:t>
      </w:r>
      <w:r w:rsidRPr="001240BF">
        <w:rPr>
          <w:sz w:val="28"/>
          <w:szCs w:val="28"/>
        </w:rPr>
        <w:t>стно</w:t>
      </w:r>
      <w:r w:rsidRPr="00BA6381"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A2170C" w:rsidRDefault="00086DD5" w:rsidP="00B337CB">
      <w:pPr>
        <w:pStyle w:val="Style12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Б) При освоении дисциплин циклов ЕГСЭ, ЕН, ОПД </w:t>
      </w:r>
      <w:r w:rsidRPr="001240BF">
        <w:rPr>
          <w:sz w:val="28"/>
          <w:szCs w:val="28"/>
        </w:rPr>
        <w:t>и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B337CB">
        <w:rPr>
          <w:sz w:val="28"/>
          <w:szCs w:val="28"/>
        </w:rPr>
        <w:t>40.02.01</w:t>
      </w:r>
      <w:r w:rsidR="00B337CB" w:rsidRPr="00B337CB">
        <w:rPr>
          <w:sz w:val="28"/>
          <w:szCs w:val="28"/>
        </w:rPr>
        <w:t>Право и организация социального обеспечения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 Распределение общих компетенций представлено в Приложении 2.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региональных конкурсах </w:t>
      </w:r>
      <w:r w:rsidR="005D0E2F">
        <w:rPr>
          <w:sz w:val="28"/>
          <w:szCs w:val="28"/>
        </w:rPr>
        <w:t>и олимпиадах по дисциплине «Право», «Финансовая грамотность»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индивидуальных проектов;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курсовых работ (проектов);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на лучшую дипломную работу (проект);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олимпиады по математике, химии, русскому языку, экологии;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участие во всероссийской акции Экологический диктант;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выпуск сборников статей по результатам проведения конференций;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на предприятия</w:t>
      </w:r>
      <w:r>
        <w:rPr>
          <w:sz w:val="28"/>
          <w:szCs w:val="28"/>
        </w:rPr>
        <w:t xml:space="preserve"> </w:t>
      </w:r>
      <w:r w:rsidR="00A2170C">
        <w:rPr>
          <w:sz w:val="28"/>
          <w:szCs w:val="28"/>
        </w:rPr>
        <w:t xml:space="preserve">МФЦ, Пенсионный фонд </w:t>
      </w:r>
      <w:r>
        <w:rPr>
          <w:sz w:val="28"/>
          <w:szCs w:val="28"/>
        </w:rPr>
        <w:t xml:space="preserve"> и т.д.</w:t>
      </w:r>
      <w:r w:rsidRPr="00BA6381">
        <w:rPr>
          <w:sz w:val="28"/>
          <w:szCs w:val="28"/>
        </w:rPr>
        <w:t>;</w:t>
      </w:r>
    </w:p>
    <w:p w:rsidR="00086DD5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встречи с работодателями;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лассный </w:t>
      </w:r>
      <w:r w:rsidRPr="00BA6381">
        <w:rPr>
          <w:sz w:val="28"/>
          <w:szCs w:val="28"/>
        </w:rPr>
        <w:t xml:space="preserve"> час на 1 курсе «О Правилах внутреннего распорядка обучающихся»; на 2 курсе «Особенности проведения практического обучения»; на </w:t>
      </w:r>
      <w:r w:rsidR="005D0E2F">
        <w:rPr>
          <w:sz w:val="28"/>
          <w:szCs w:val="28"/>
        </w:rPr>
        <w:t>3</w:t>
      </w:r>
      <w:r w:rsidRPr="00BA6381">
        <w:rPr>
          <w:sz w:val="28"/>
          <w:szCs w:val="28"/>
        </w:rPr>
        <w:t xml:space="preserve"> курсе «Организация государственной итоговой аттестации по профессии/специальности»;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с обучающимся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>, преподавателей,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ТЕХНОЛОГИИ ВЗАИМОДЕЙСТВИЯ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 телеканале и др.) обучающихся, имеющих достижения в обучении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учебной группы с преподавателями</w:t>
      </w:r>
      <w:r>
        <w:rPr>
          <w:sz w:val="28"/>
          <w:szCs w:val="28"/>
        </w:rPr>
        <w:t xml:space="preserve">, </w:t>
      </w:r>
      <w:r w:rsidRPr="00BA6381">
        <w:rPr>
          <w:sz w:val="28"/>
          <w:szCs w:val="28"/>
        </w:rPr>
        <w:t>работающими в учебной группе, по вопросам успешности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акции Бессмертный полк;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41DC1">
        <w:rPr>
          <w:sz w:val="28"/>
          <w:szCs w:val="28"/>
        </w:rPr>
        <w:lastRenderedPageBreak/>
        <w:t>участие обучающихся в квестах и мероприятиях к значимым датам;</w:t>
      </w:r>
      <w:r w:rsidRPr="00BA6381">
        <w:rPr>
          <w:sz w:val="28"/>
          <w:szCs w:val="28"/>
        </w:rPr>
        <w:t xml:space="preserve">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региональных волонтерских акциях, волонтерский рейд «С заботой о ветеранах»;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видеолекторий патриотической тематики совместно с социальным</w:t>
      </w:r>
      <w:r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ами.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</w:t>
      </w:r>
      <w:r w:rsidR="00BC7A82">
        <w:rPr>
          <w:sz w:val="28"/>
          <w:szCs w:val="28"/>
        </w:rPr>
        <w:t>ы, квесты или флешмобы</w:t>
      </w:r>
      <w:r w:rsidRPr="00BA6381">
        <w:rPr>
          <w:sz w:val="28"/>
          <w:szCs w:val="28"/>
        </w:rPr>
        <w:t>, посвященны</w:t>
      </w:r>
      <w:r w:rsidR="00BC7A82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Pr="00BA6381">
        <w:rPr>
          <w:sz w:val="28"/>
          <w:szCs w:val="28"/>
        </w:rPr>
        <w:t>знаний, 4 ноября – День народного единства,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государственного флага Российской Федерации;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патриотической песни</w:t>
      </w:r>
      <w:r w:rsidRPr="00BA6381">
        <w:rPr>
          <w:sz w:val="28"/>
          <w:szCs w:val="28"/>
        </w:rPr>
        <w:t xml:space="preserve"> к Дню </w:t>
      </w:r>
      <w:r>
        <w:rPr>
          <w:sz w:val="28"/>
          <w:szCs w:val="28"/>
        </w:rPr>
        <w:t>защитников Отечества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адаптационный курс для первокурсников;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тренинги командообразования и командные игры;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благоустройство, оформление, событийный дизайн</w:t>
      </w:r>
      <w:r>
        <w:rPr>
          <w:sz w:val="28"/>
          <w:szCs w:val="28"/>
        </w:rPr>
        <w:t xml:space="preserve"> к Новому году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разработка социальных инициатив обучающихся и мероприятий по социальному взаимодействию, </w:t>
      </w:r>
      <w:r>
        <w:rPr>
          <w:sz w:val="28"/>
          <w:szCs w:val="28"/>
        </w:rPr>
        <w:t>(</w:t>
      </w:r>
      <w:r w:rsidRPr="00BA6381">
        <w:rPr>
          <w:sz w:val="28"/>
          <w:szCs w:val="28"/>
        </w:rPr>
        <w:t>«Подарки для детского дома»</w:t>
      </w:r>
      <w:r>
        <w:rPr>
          <w:sz w:val="28"/>
          <w:szCs w:val="28"/>
        </w:rPr>
        <w:t>, «Добрые крышечки»</w:t>
      </w:r>
      <w:r w:rsidRPr="00BA638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проводимых мероприятий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255D50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акции </w:t>
      </w:r>
      <w:r>
        <w:rPr>
          <w:sz w:val="28"/>
          <w:szCs w:val="28"/>
        </w:rPr>
        <w:t>«Международный день художника»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фестиваль национальных культур;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</w:t>
      </w:r>
      <w:r>
        <w:rPr>
          <w:sz w:val="28"/>
          <w:szCs w:val="28"/>
        </w:rPr>
        <w:t>лубов</w:t>
      </w:r>
      <w:r w:rsidRPr="00BA6381">
        <w:rPr>
          <w:sz w:val="28"/>
          <w:szCs w:val="28"/>
        </w:rPr>
        <w:t>: танцевального, театрального, музыкального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клубов по интересам;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хобби «Моё увлечение»;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фотоконкурс </w:t>
      </w:r>
      <w:r>
        <w:rPr>
          <w:sz w:val="28"/>
          <w:szCs w:val="28"/>
        </w:rPr>
        <w:t>«Мой край любимый»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открытая лекция о противодействии коррупции;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в музеи, знакомство с историко-культурным и этническим наследием края;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посещение театральных спектаклей, концертов;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Pr="00BA6381">
        <w:rPr>
          <w:sz w:val="28"/>
          <w:szCs w:val="28"/>
        </w:rPr>
        <w:t xml:space="preserve"> часы с дискуссиями об общечеловеческих ценностях, решением моральных дилемм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социальные инициативы студентов, в том числе подготовка праздничных концертов к Дню посвящения в студенты, к Новому году, празднику 8 марта, к выпускным мероприятиям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работы кружков, студий, клубов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вовлечение родителей в проведение мероприятий </w:t>
      </w:r>
      <w:r w:rsidRPr="008023B9">
        <w:rPr>
          <w:sz w:val="28"/>
          <w:szCs w:val="28"/>
        </w:rPr>
        <w:t>(Фестиваль национальных блюд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неформальных клубных встреч родителей 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 к</w:t>
      </w:r>
      <w:r>
        <w:rPr>
          <w:sz w:val="28"/>
          <w:szCs w:val="28"/>
        </w:rPr>
        <w:t>лассными руководителями</w:t>
      </w:r>
      <w:r w:rsidRPr="00BA6381"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экологических акциях и субботниках;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спортивных секций: легкой атлетики, баскетбола, </w:t>
      </w:r>
      <w:r>
        <w:rPr>
          <w:sz w:val="28"/>
          <w:szCs w:val="28"/>
        </w:rPr>
        <w:t xml:space="preserve">волейбола, настольного тенниса </w:t>
      </w:r>
      <w:r w:rsidRPr="00BA6381">
        <w:rPr>
          <w:sz w:val="28"/>
          <w:szCs w:val="28"/>
        </w:rPr>
        <w:t>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экологические субботники;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023B9">
        <w:rPr>
          <w:sz w:val="28"/>
          <w:szCs w:val="28"/>
        </w:rPr>
        <w:t xml:space="preserve">экологические экскурсии («Фабрика качества», хлебо-булочный завод </w:t>
      </w:r>
      <w:r>
        <w:rPr>
          <w:sz w:val="28"/>
          <w:szCs w:val="28"/>
        </w:rPr>
        <w:t>по воп</w:t>
      </w:r>
      <w:r w:rsidRPr="008023B9">
        <w:rPr>
          <w:sz w:val="28"/>
          <w:szCs w:val="28"/>
        </w:rPr>
        <w:t>росам утилизации пищевых и непищевых отходов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 w:rsidRPr="00982198">
        <w:rPr>
          <w:sz w:val="28"/>
          <w:szCs w:val="28"/>
        </w:rPr>
        <w:t xml:space="preserve">на сайте, в группе ВК, </w:t>
      </w:r>
      <w:r w:rsidRPr="00BA6381">
        <w:rPr>
          <w:sz w:val="28"/>
          <w:szCs w:val="28"/>
        </w:rPr>
        <w:t>телеканале и др.) работы секций и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</w:t>
      </w:r>
      <w:r w:rsidRPr="00BA6381">
        <w:rPr>
          <w:sz w:val="28"/>
          <w:szCs w:val="28"/>
        </w:rPr>
        <w:lastRenderedPageBreak/>
        <w:t>органах студенческого самоуправления, различных молодежных объединениях в образовательной организации и вне её,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УЧЕБНОЙ ДЕЯТЕЛЬНОСТИ: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 ВНЕУЧЕБНОЙ ДЕЯТЕЛЬНОСТИ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групповые формы работы: на уровне учебной группы и в </w:t>
      </w:r>
      <w:r w:rsidRPr="008F15B1">
        <w:rPr>
          <w:sz w:val="28"/>
          <w:szCs w:val="28"/>
        </w:rPr>
        <w:t>малых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>группах;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индивидуальные формы работы: с одним обучающимся.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</w:t>
      </w:r>
      <w:r w:rsidRPr="00BA6381">
        <w:rPr>
          <w:sz w:val="28"/>
          <w:szCs w:val="28"/>
        </w:rPr>
        <w:lastRenderedPageBreak/>
        <w:t>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Субъектами воспитательного процесса выступают: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>
        <w:rPr>
          <w:sz w:val="28"/>
          <w:szCs w:val="28"/>
        </w:rPr>
        <w:t>, Совет старост</w:t>
      </w:r>
      <w:r w:rsidRPr="00BA6381">
        <w:rPr>
          <w:sz w:val="28"/>
          <w:szCs w:val="28"/>
        </w:rPr>
        <w:t>);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сохранение и преумножение традиций,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коллективные дела и «соревновательность»,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между младшими и старшими</w:t>
      </w:r>
      <w:r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>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библиотечный информационный центр;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спортивный зал со спортивным оборудованием</w:t>
      </w:r>
      <w:r>
        <w:rPr>
          <w:sz w:val="28"/>
          <w:szCs w:val="28"/>
        </w:rPr>
        <w:t>, бассейн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рабочей программы воспитания инвалид</w:t>
      </w:r>
      <w:r w:rsidRPr="00F372DD">
        <w:rPr>
          <w:sz w:val="28"/>
          <w:szCs w:val="28"/>
        </w:rPr>
        <w:t xml:space="preserve">ов </w:t>
      </w:r>
      <w:r w:rsidRPr="00BA6381">
        <w:rPr>
          <w:sz w:val="28"/>
          <w:szCs w:val="28"/>
        </w:rPr>
        <w:t>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086DD5" w:rsidRPr="00BA6381" w:rsidRDefault="00086DD5" w:rsidP="00086DD5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Таблица 1. Оценка результативности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35"/>
        <w:gridCol w:w="815"/>
        <w:gridCol w:w="71"/>
        <w:gridCol w:w="921"/>
      </w:tblGrid>
      <w:tr w:rsidR="00107A64" w:rsidRPr="00BA6381" w:rsidTr="00107A64">
        <w:tc>
          <w:tcPr>
            <w:tcW w:w="534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№</w:t>
            </w:r>
          </w:p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Показатели качества и эффективности реализации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Единица измерения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Значение показателя учебной группы</w:t>
            </w:r>
          </w:p>
        </w:tc>
      </w:tr>
      <w:tr w:rsidR="00107A64" w:rsidRPr="00BA6381" w:rsidTr="00107A64">
        <w:tc>
          <w:tcPr>
            <w:tcW w:w="534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5103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1 курсе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2 курсе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3 курсе</w:t>
            </w:r>
          </w:p>
        </w:tc>
      </w:tr>
      <w:tr w:rsidR="00107A64" w:rsidRPr="00BA6381" w:rsidTr="00107A64">
        <w:trPr>
          <w:gridAfter w:val="7"/>
          <w:wAfter w:w="8646" w:type="dxa"/>
        </w:trPr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ind w:left="360"/>
            </w:pP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6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занимавшихся в течение учебного года в спортивных секциях, фитнес-клубах, бассейнах и т.п., от общей численности </w:t>
            </w:r>
            <w:r w:rsidRPr="00BA6381">
              <w:lastRenderedPageBreak/>
              <w:t>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1A3ABF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1A3ABF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участвующих в работе студенческого совета, </w:t>
            </w:r>
            <w:r>
              <w:t>совета старост</w:t>
            </w:r>
            <w:r w:rsidRPr="00BA6381">
              <w:t>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принявших участие в анкетировании по выявлению удовлетворенност</w:t>
            </w:r>
            <w:r w:rsidRPr="00E21640">
              <w:rPr>
                <w:color w:val="auto"/>
              </w:rPr>
              <w:t>и</w:t>
            </w:r>
            <w:r w:rsidRPr="00BA6381"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добровольном социально-психологическом тестировании на </w:t>
            </w:r>
            <w:r w:rsidRPr="00BA6381"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26849"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26849"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</w:pPr>
          </w:p>
        </w:tc>
        <w:tc>
          <w:tcPr>
            <w:tcW w:w="8646" w:type="dxa"/>
            <w:gridSpan w:val="7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1,0-5,0</w:t>
            </w:r>
          </w:p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балл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3,7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5F6CC3">
              <w:t>3,7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5F6CC3">
              <w:t>3,</w:t>
            </w:r>
            <w:r>
              <w:t>9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предметных олимпиадах от общей </w:t>
            </w:r>
            <w:r w:rsidRPr="00BA6381">
              <w:lastRenderedPageBreak/>
              <w:t>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4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Количество обучающихся с </w:t>
            </w:r>
            <w:r w:rsidRPr="00BA6381"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</w:tbl>
    <w:p w:rsidR="00086DD5" w:rsidRPr="00BA6381" w:rsidRDefault="00086DD5" w:rsidP="00086DD5"/>
    <w:p w:rsidR="00086DD5" w:rsidRPr="00BA6381" w:rsidRDefault="00086DD5" w:rsidP="00086DD5"/>
    <w:p w:rsidR="00086DD5" w:rsidRPr="00BA6381" w:rsidRDefault="00086DD5" w:rsidP="00086DD5">
      <w:r w:rsidRPr="00BA6381"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  <w:sectPr w:rsidR="00086DD5" w:rsidRPr="00BA6381" w:rsidSect="00096308">
          <w:footerReference w:type="even" r:id="rId8"/>
          <w:footerReference w:type="default" r:id="rId9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</w:tc>
      </w:tr>
    </w:tbl>
    <w:p w:rsidR="00B337CB" w:rsidRDefault="00B337CB" w:rsidP="00457BC4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                                                                                                       </w:t>
      </w:r>
      <w:r w:rsidRPr="00B337CB">
        <w:rPr>
          <w:iCs/>
          <w:color w:val="000000"/>
          <w:w w:val="0"/>
          <w:kern w:val="2"/>
          <w:sz w:val="28"/>
          <w:szCs w:val="28"/>
          <w:lang w:eastAsia="ko-KR"/>
        </w:rPr>
        <w:t>40.02.01 Право и орга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низация социального обеспечения</w:t>
      </w:r>
    </w:p>
    <w:p w:rsidR="000227D6" w:rsidRPr="00BA6381" w:rsidRDefault="00086DD5" w:rsidP="00457BC4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личностных результатов обучения на дисциплинах общеобразовательного цикла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086DD5" w:rsidRPr="00BA6381" w:rsidTr="00096308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086DD5" w:rsidRPr="00BA6381" w:rsidRDefault="00086DD5" w:rsidP="00B55E82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</w:pPr>
            <w:r w:rsidRPr="00BA6381">
              <w:t>Планируемые результаты</w:t>
            </w:r>
          </w:p>
        </w:tc>
      </w:tr>
      <w:tr w:rsidR="00086DD5" w:rsidRPr="00BA6381" w:rsidTr="00096308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A0F9F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="00086DD5"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10 Физика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11 Химия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2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Биология в профессиональной деятельности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sectPr w:rsidR="00086DD5" w:rsidRPr="00BA6381" w:rsidSect="00096308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086DD5" w:rsidRPr="00BA6381" w:rsidRDefault="00B337CB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337CB">
              <w:rPr>
                <w:rFonts w:eastAsiaTheme="minorEastAsia"/>
                <w:sz w:val="28"/>
                <w:szCs w:val="28"/>
              </w:rPr>
              <w:t>40.02.01 Право и организация социального обеспечения.</w:t>
            </w: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5701" w:type="dxa"/>
        <w:tblLook w:val="04A0" w:firstRow="1" w:lastRow="0" w:firstColumn="1" w:lastColumn="0" w:noHBand="0" w:noVBand="1"/>
      </w:tblPr>
      <w:tblGrid>
        <w:gridCol w:w="4361"/>
        <w:gridCol w:w="992"/>
        <w:gridCol w:w="738"/>
        <w:gridCol w:w="992"/>
        <w:gridCol w:w="709"/>
        <w:gridCol w:w="850"/>
        <w:gridCol w:w="993"/>
        <w:gridCol w:w="992"/>
        <w:gridCol w:w="992"/>
        <w:gridCol w:w="1276"/>
        <w:gridCol w:w="709"/>
        <w:gridCol w:w="850"/>
        <w:gridCol w:w="709"/>
        <w:gridCol w:w="538"/>
      </w:tblGrid>
      <w:tr w:rsidR="00B337CB" w:rsidRPr="00BA6381" w:rsidTr="00B337CB">
        <w:trPr>
          <w:trHeight w:val="346"/>
        </w:trPr>
        <w:tc>
          <w:tcPr>
            <w:tcW w:w="4361" w:type="dxa"/>
            <w:vMerge w:val="restart"/>
            <w:vAlign w:val="center"/>
          </w:tcPr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992" w:type="dxa"/>
          </w:tcPr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  <w:tc>
          <w:tcPr>
            <w:tcW w:w="9810" w:type="dxa"/>
            <w:gridSpan w:val="11"/>
            <w:vAlign w:val="center"/>
          </w:tcPr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 w:rsidRPr="00BA6381">
              <w:t>Планируемые результаты</w:t>
            </w:r>
          </w:p>
        </w:tc>
        <w:tc>
          <w:tcPr>
            <w:tcW w:w="538" w:type="dxa"/>
          </w:tcPr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</w:tr>
      <w:tr w:rsidR="00B337CB" w:rsidRPr="00BA6381" w:rsidTr="00171AC2">
        <w:trPr>
          <w:cantSplit/>
          <w:trHeight w:val="6173"/>
        </w:trPr>
        <w:tc>
          <w:tcPr>
            <w:tcW w:w="4361" w:type="dxa"/>
            <w:vMerge/>
          </w:tcPr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713943" w:rsidRPr="00713943" w:rsidRDefault="00713943" w:rsidP="00713943">
            <w:r w:rsidRPr="00713943">
              <w:t>Семестр изучения</w:t>
            </w:r>
          </w:p>
          <w:p w:rsidR="00B337CB" w:rsidRPr="00BA6381" w:rsidRDefault="00B337CB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738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92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9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850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4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      </w:r>
          </w:p>
        </w:tc>
        <w:tc>
          <w:tcPr>
            <w:tcW w:w="993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92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92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09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9 Ориентироваться в условиях постоянного изменения правовой базы</w:t>
            </w:r>
          </w:p>
        </w:tc>
        <w:tc>
          <w:tcPr>
            <w:tcW w:w="850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10 Соблюдать основы здорового образа жизни, требования охраны труда</w:t>
            </w:r>
          </w:p>
        </w:tc>
        <w:tc>
          <w:tcPr>
            <w:tcW w:w="709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11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538" w:type="dxa"/>
            <w:textDirection w:val="btLr"/>
            <w:vAlign w:val="bottom"/>
          </w:tcPr>
          <w:p w:rsidR="00B337CB" w:rsidRPr="00B337CB" w:rsidRDefault="00B337CB" w:rsidP="00B337CB">
            <w:pPr>
              <w:rPr>
                <w:color w:val="000000"/>
                <w:sz w:val="20"/>
                <w:szCs w:val="20"/>
              </w:rPr>
            </w:pPr>
            <w:r w:rsidRPr="00B337CB">
              <w:rPr>
                <w:color w:val="000000"/>
                <w:sz w:val="20"/>
                <w:szCs w:val="20"/>
              </w:rPr>
              <w:t>ОК 12 Проявлять нетерпимость к коррупционному поведению</w:t>
            </w:r>
          </w:p>
        </w:tc>
      </w:tr>
      <w:tr w:rsidR="00B337CB" w:rsidRPr="00096308" w:rsidTr="008C73D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Б.1 ОГСЭ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Б. 1.1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ОГСЭ.01 Основы философии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lastRenderedPageBreak/>
              <w:t>ОГСЭ.02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ОГСЭ.03 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3,4, 5,6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ОГСЭ.04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3,4, 5,6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Б. 1.2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ОГСЭ.05 Общие компетенции профессионала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1,3,5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ОГСЭ.06 Рынок труда и профессиональная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Б.2 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Б.2.1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ЕН.01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ЕН.02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Б.3 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Б.3.1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ОП.01 Теория государства и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ОП.02 Конституционное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ОП.03 Административное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ОП.04 Основы экологического 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ОП.05 Трудовое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ОП.06 Гражданское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3, 4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ОП.07 Семейное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3, 4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ОП.08 Гражданский процесс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ОП.09 Страховое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ОП.10 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ОП.11 Экономика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ОП.12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ОП.13 Документационное обеспечение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ОП.14 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ОП.15 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>
            <w:r w:rsidRPr="00840F16">
              <w:t>Б. 3.2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lastRenderedPageBreak/>
              <w:t>ОП.16 Бухгалтерский учет и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ОП.17 Основы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ОП.18 Теория социальной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ОП.19 Основы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Б.4 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Б.4.1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/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МДК.01.01 Право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МДК 01.02 Психология социально-правовой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УП.01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ПП.01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МДК.02.01 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ПП.02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ПДП.00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Pr="00840F16" w:rsidRDefault="00B337CB" w:rsidP="00B020FA">
            <w:r w:rsidRPr="00840F16">
              <w:t>+</w:t>
            </w:r>
          </w:p>
        </w:tc>
      </w:tr>
      <w:tr w:rsidR="00B337CB" w:rsidRPr="00096308" w:rsidTr="008C73DD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 xml:space="preserve">ГИА Государственная (итоговая) аттестация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B" w:rsidRPr="00840F16" w:rsidRDefault="00B337CB" w:rsidP="00B020FA">
            <w:r w:rsidRPr="00840F16"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7CB" w:rsidRDefault="00B337CB" w:rsidP="00B020FA">
            <w:r w:rsidRPr="00840F16">
              <w:t>+</w:t>
            </w:r>
          </w:p>
        </w:tc>
      </w:tr>
    </w:tbl>
    <w:p w:rsidR="00387D4D" w:rsidRDefault="00387D4D"/>
    <w:sectPr w:rsidR="00387D4D" w:rsidSect="00096308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11" w:rsidRDefault="00871911" w:rsidP="00086DD5">
      <w:r>
        <w:separator/>
      </w:r>
    </w:p>
  </w:endnote>
  <w:endnote w:type="continuationSeparator" w:id="0">
    <w:p w:rsidR="00871911" w:rsidRDefault="00871911" w:rsidP="000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Default="008875D8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75D8" w:rsidRDefault="008875D8" w:rsidP="000963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Default="008875D8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4267">
      <w:rPr>
        <w:rStyle w:val="ab"/>
        <w:noProof/>
      </w:rPr>
      <w:t>2</w:t>
    </w:r>
    <w:r>
      <w:rPr>
        <w:rStyle w:val="ab"/>
      </w:rPr>
      <w:fldChar w:fldCharType="end"/>
    </w:r>
  </w:p>
  <w:p w:rsidR="008875D8" w:rsidRDefault="008875D8" w:rsidP="000963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11" w:rsidRDefault="00871911" w:rsidP="00086DD5">
      <w:r>
        <w:separator/>
      </w:r>
    </w:p>
  </w:footnote>
  <w:footnote w:type="continuationSeparator" w:id="0">
    <w:p w:rsidR="00871911" w:rsidRDefault="00871911" w:rsidP="00086DD5">
      <w:r>
        <w:continuationSeparator/>
      </w:r>
    </w:p>
  </w:footnote>
  <w:footnote w:id="1">
    <w:p w:rsidR="008875D8" w:rsidRDefault="008875D8" w:rsidP="00086DD5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2">
    <w:p w:rsidR="008875D8" w:rsidRDefault="008875D8" w:rsidP="00086DD5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CCB"/>
    <w:multiLevelType w:val="hybridMultilevel"/>
    <w:tmpl w:val="0A907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E5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11"/>
  </w:num>
  <w:num w:numId="5">
    <w:abstractNumId w:val="12"/>
  </w:num>
  <w:num w:numId="6">
    <w:abstractNumId w:val="26"/>
  </w:num>
  <w:num w:numId="7">
    <w:abstractNumId w:val="28"/>
  </w:num>
  <w:num w:numId="8">
    <w:abstractNumId w:val="0"/>
  </w:num>
  <w:num w:numId="9">
    <w:abstractNumId w:val="24"/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1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27"/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9"/>
  </w:num>
  <w:num w:numId="29">
    <w:abstractNumId w:val="19"/>
  </w:num>
  <w:num w:numId="30">
    <w:abstractNumId w:val="22"/>
  </w:num>
  <w:num w:numId="31">
    <w:abstractNumId w:val="10"/>
  </w:num>
  <w:num w:numId="32">
    <w:abstractNumId w:val="18"/>
  </w:num>
  <w:num w:numId="33">
    <w:abstractNumId w:val="16"/>
  </w:num>
  <w:num w:numId="34">
    <w:abstractNumId w:val="23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4"/>
    <w:rsid w:val="00014CDE"/>
    <w:rsid w:val="000227D6"/>
    <w:rsid w:val="00086DD5"/>
    <w:rsid w:val="00096308"/>
    <w:rsid w:val="000A0F9F"/>
    <w:rsid w:val="00107A64"/>
    <w:rsid w:val="00255D50"/>
    <w:rsid w:val="00363B58"/>
    <w:rsid w:val="00380284"/>
    <w:rsid w:val="00387D4D"/>
    <w:rsid w:val="00457BC4"/>
    <w:rsid w:val="004C1182"/>
    <w:rsid w:val="005D0E2F"/>
    <w:rsid w:val="00626ACD"/>
    <w:rsid w:val="0066455B"/>
    <w:rsid w:val="006F3DA5"/>
    <w:rsid w:val="00704267"/>
    <w:rsid w:val="00713943"/>
    <w:rsid w:val="007974C6"/>
    <w:rsid w:val="007E7087"/>
    <w:rsid w:val="00871911"/>
    <w:rsid w:val="008875D8"/>
    <w:rsid w:val="00A2170C"/>
    <w:rsid w:val="00AA4EA8"/>
    <w:rsid w:val="00AE25C4"/>
    <w:rsid w:val="00B337CB"/>
    <w:rsid w:val="00B36029"/>
    <w:rsid w:val="00B55E82"/>
    <w:rsid w:val="00BC7A82"/>
    <w:rsid w:val="00BF2719"/>
    <w:rsid w:val="00C41AE8"/>
    <w:rsid w:val="00C8353D"/>
    <w:rsid w:val="00CD3949"/>
    <w:rsid w:val="00DB66A4"/>
    <w:rsid w:val="00E14E81"/>
    <w:rsid w:val="00E618F2"/>
    <w:rsid w:val="00F00ADB"/>
    <w:rsid w:val="00F733F3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1BB8"/>
  <w15:docId w15:val="{1C8CB44D-9B92-41D0-8ECE-D895ADA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DD5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086D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86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D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DD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6DD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086D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86DD5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86DD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86DD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6D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6D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6DD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86DD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86DD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86DD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086DD5"/>
    <w:pPr>
      <w:spacing w:before="100" w:beforeAutospacing="1" w:after="100" w:afterAutospacing="1"/>
    </w:pPr>
  </w:style>
  <w:style w:type="paragraph" w:styleId="21">
    <w:name w:val="List 2"/>
    <w:basedOn w:val="a"/>
    <w:rsid w:val="00086DD5"/>
    <w:pPr>
      <w:ind w:left="566" w:hanging="283"/>
    </w:pPr>
  </w:style>
  <w:style w:type="paragraph" w:styleId="22">
    <w:name w:val="Body Text Indent 2"/>
    <w:basedOn w:val="a"/>
    <w:link w:val="23"/>
    <w:rsid w:val="00086DD5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086DD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86DD5"/>
    <w:rPr>
      <w:vertAlign w:val="superscript"/>
    </w:rPr>
  </w:style>
  <w:style w:type="paragraph" w:styleId="24">
    <w:name w:val="Body Text 2"/>
    <w:basedOn w:val="a"/>
    <w:link w:val="25"/>
    <w:rsid w:val="00086DD5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086DD5"/>
    <w:pPr>
      <w:spacing w:after="120"/>
    </w:pPr>
  </w:style>
  <w:style w:type="character" w:customStyle="1" w:styleId="a8">
    <w:name w:val="Основной текст Знак"/>
    <w:basedOn w:val="a0"/>
    <w:link w:val="a7"/>
    <w:rsid w:val="0008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86D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86DD5"/>
  </w:style>
  <w:style w:type="table" w:styleId="ac">
    <w:name w:val="Table Grid"/>
    <w:basedOn w:val="a1"/>
    <w:uiPriority w:val="59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текст,Основной текст 1"/>
    <w:basedOn w:val="a"/>
    <w:link w:val="ae"/>
    <w:rsid w:val="00086DD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rsid w:val="00086DD5"/>
    <w:rPr>
      <w:color w:val="0000FF"/>
      <w:u w:val="single"/>
    </w:rPr>
  </w:style>
  <w:style w:type="paragraph" w:styleId="11">
    <w:name w:val="toc 1"/>
    <w:basedOn w:val="a"/>
    <w:next w:val="a"/>
    <w:autoRedefine/>
    <w:rsid w:val="00086DD5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086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rsid w:val="00086DD5"/>
    <w:rPr>
      <w:color w:val="800080"/>
      <w:u w:val="single"/>
    </w:rPr>
  </w:style>
  <w:style w:type="character" w:styleId="af1">
    <w:name w:val="Emphasis"/>
    <w:qFormat/>
    <w:rsid w:val="00086DD5"/>
    <w:rPr>
      <w:i/>
      <w:iCs/>
    </w:rPr>
  </w:style>
  <w:style w:type="character" w:styleId="af2">
    <w:name w:val="Strong"/>
    <w:qFormat/>
    <w:rsid w:val="00086DD5"/>
    <w:rPr>
      <w:b/>
      <w:bCs/>
    </w:rPr>
  </w:style>
  <w:style w:type="paragraph" w:customStyle="1" w:styleId="Web">
    <w:name w:val="Обычный (Web)"/>
    <w:basedOn w:val="a"/>
    <w:rsid w:val="00086DD5"/>
    <w:rPr>
      <w:rFonts w:eastAsia="SimSun"/>
    </w:rPr>
  </w:style>
  <w:style w:type="paragraph" w:customStyle="1" w:styleId="12">
    <w:name w:val="заголовок 1"/>
    <w:basedOn w:val="a"/>
    <w:next w:val="a"/>
    <w:rsid w:val="00086DD5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086DD5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"/>
    <w:basedOn w:val="a"/>
    <w:rsid w:val="00086DD5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086DD5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086D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086DD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086DD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086DD5"/>
  </w:style>
  <w:style w:type="paragraph" w:customStyle="1" w:styleId="af7">
    <w:name w:val="Знак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086DD5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Заголовок Знак"/>
    <w:basedOn w:val="a0"/>
    <w:link w:val="af8"/>
    <w:rsid w:val="00086DD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fa">
    <w:name w:val="Plain Text"/>
    <w:basedOn w:val="a"/>
    <w:link w:val="afb"/>
    <w:rsid w:val="00086DD5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086D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086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86DD5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basedOn w:val="a0"/>
    <w:link w:val="afc"/>
    <w:rsid w:val="00086DD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e">
    <w:name w:val="список с точками"/>
    <w:basedOn w:val="a"/>
    <w:rsid w:val="00086DD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4">
    <w:name w:val="Обычный1"/>
    <w:rsid w:val="00086D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086DD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f0">
    <w:name w:val="Без интервала Знак"/>
    <w:link w:val="aff"/>
    <w:uiPriority w:val="1"/>
    <w:rsid w:val="00086DD5"/>
    <w:rPr>
      <w:rFonts w:ascii="Calibri" w:eastAsia="Calibri" w:hAnsi="Calibri" w:cs="Times New Roman"/>
      <w:lang w:val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86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086DD5"/>
    <w:rPr>
      <w:rFonts w:ascii="Calibri" w:eastAsia="Calibri" w:hAnsi="Calibri" w:cs="Times New Roman"/>
    </w:rPr>
  </w:style>
  <w:style w:type="paragraph" w:styleId="aff3">
    <w:name w:val="endnote text"/>
    <w:basedOn w:val="a"/>
    <w:link w:val="aff4"/>
    <w:rsid w:val="00086DD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086DD5"/>
    <w:rPr>
      <w:vertAlign w:val="superscript"/>
    </w:rPr>
  </w:style>
  <w:style w:type="paragraph" w:customStyle="1" w:styleId="Style12">
    <w:name w:val="Style12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86DD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086DD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086DD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86DD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6DD5"/>
    <w:pPr>
      <w:widowControl w:val="0"/>
      <w:shd w:val="clear" w:color="auto" w:fill="FFFFFF"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86DD5"/>
    <w:pPr>
      <w:spacing w:before="100" w:beforeAutospacing="1" w:after="100" w:afterAutospacing="1"/>
    </w:pPr>
  </w:style>
  <w:style w:type="character" w:customStyle="1" w:styleId="c2">
    <w:name w:val="c2"/>
    <w:basedOn w:val="a0"/>
    <w:rsid w:val="00086DD5"/>
  </w:style>
  <w:style w:type="character" w:customStyle="1" w:styleId="c4">
    <w:name w:val="c4"/>
    <w:basedOn w:val="a0"/>
    <w:rsid w:val="00086DD5"/>
  </w:style>
  <w:style w:type="character" w:customStyle="1" w:styleId="CharAttribute484">
    <w:name w:val="CharAttribute484"/>
    <w:uiPriority w:val="99"/>
    <w:rsid w:val="00086DD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086DD5"/>
    <w:rPr>
      <w:rFonts w:ascii="Times New Roman" w:eastAsia="Times New Roman"/>
      <w:i/>
      <w:sz w:val="28"/>
      <w:u w:val="single"/>
    </w:rPr>
  </w:style>
  <w:style w:type="paragraph" w:customStyle="1" w:styleId="Style17">
    <w:name w:val="_Style 17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c"/>
    <w:uiPriority w:val="59"/>
    <w:qFormat/>
    <w:rsid w:val="007E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8879</Words>
  <Characters>50614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Валентиновна</dc:creator>
  <cp:keywords/>
  <dc:description/>
  <cp:lastModifiedBy>Лебедева Ирина Валентиновна</cp:lastModifiedBy>
  <cp:revision>16</cp:revision>
  <cp:lastPrinted>2021-06-29T10:46:00Z</cp:lastPrinted>
  <dcterms:created xsi:type="dcterms:W3CDTF">2021-03-11T06:55:00Z</dcterms:created>
  <dcterms:modified xsi:type="dcterms:W3CDTF">2021-06-29T10:46:00Z</dcterms:modified>
</cp:coreProperties>
</file>