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5C2A37">
        <w:tc>
          <w:tcPr>
            <w:tcW w:w="2694" w:type="dxa"/>
          </w:tcPr>
          <w:p w:rsidR="009D521C" w:rsidRDefault="009D521C" w:rsidP="005C2A37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5C2A37">
            <w:pPr>
              <w:jc w:val="center"/>
            </w:pPr>
          </w:p>
          <w:p w:rsidR="009D521C" w:rsidRDefault="009D521C" w:rsidP="005C2A37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5C2A37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5C2A37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5C2A37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9D521C" w:rsidRPr="00BA6381" w:rsidTr="005C2A37">
        <w:tc>
          <w:tcPr>
            <w:tcW w:w="4786" w:type="dxa"/>
          </w:tcPr>
          <w:tbl>
            <w:tblPr>
              <w:tblStyle w:val="afe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C40E30" w:rsidRPr="00C40E30" w:rsidTr="007B64DA">
              <w:tc>
                <w:tcPr>
                  <w:tcW w:w="4786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C40E30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C40E30" w:rsidRPr="00C40E30" w:rsidTr="007B64DA">
              <w:tc>
                <w:tcPr>
                  <w:tcW w:w="4786" w:type="dxa"/>
                  <w:vAlign w:val="center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>с учетом мнения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C40E30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  <w:tr w:rsidR="00C40E30" w:rsidRPr="00C40E30" w:rsidTr="007B64DA">
              <w:tc>
                <w:tcPr>
                  <w:tcW w:w="4786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C40E30" w:rsidRPr="00C40E30" w:rsidRDefault="00C40E30" w:rsidP="00C40E30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</w:tbl>
          <w:p w:rsidR="009D521C" w:rsidRPr="00A52927" w:rsidRDefault="009D521C" w:rsidP="005C2A37">
            <w:pPr>
              <w:spacing w:after="0" w:line="240" w:lineRule="auto"/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  <w:vAlign w:val="center"/>
          </w:tcPr>
          <w:p w:rsidR="009D521C" w:rsidRPr="00A52927" w:rsidRDefault="009D521C" w:rsidP="005C2A37">
            <w:pPr>
              <w:spacing w:after="0" w:line="240" w:lineRule="auto"/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AD1624" w:rsidP="00C4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1165A7" w:rsidRPr="001165A7" w:rsidRDefault="00733C01" w:rsidP="001165A7">
      <w:pPr>
        <w:autoSpaceDE w:val="0"/>
        <w:autoSpaceDN w:val="0"/>
        <w:adjustRightInd w:val="0"/>
        <w:spacing w:after="0" w:line="18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15.02.15</w:t>
      </w:r>
      <w:r w:rsidR="001165A7" w:rsidRPr="001165A7">
        <w:rPr>
          <w:b/>
          <w:color w:val="000000"/>
          <w:sz w:val="28"/>
          <w:szCs w:val="28"/>
        </w:rPr>
        <w:t xml:space="preserve"> </w:t>
      </w:r>
      <w:r w:rsidRPr="00733C01">
        <w:rPr>
          <w:b/>
          <w:color w:val="000000"/>
          <w:sz w:val="28"/>
          <w:szCs w:val="28"/>
        </w:rPr>
        <w:t>Технология металлообрабатывающего производства</w:t>
      </w:r>
    </w:p>
    <w:p w:rsidR="00C20D5C" w:rsidRDefault="00C20D5C" w:rsidP="005676EA">
      <w:pPr>
        <w:rPr>
          <w:rFonts w:eastAsia="SimSun"/>
          <w:sz w:val="28"/>
          <w:szCs w:val="28"/>
        </w:rPr>
      </w:pP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C40E30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>Лебедева И.В.,</w:t>
      </w:r>
      <w:r w:rsidR="001165A7">
        <w:rPr>
          <w:sz w:val="28"/>
          <w:szCs w:val="28"/>
        </w:rPr>
        <w:t xml:space="preserve"> Правдина Н.В.</w:t>
      </w:r>
      <w:r>
        <w:rPr>
          <w:sz w:val="28"/>
          <w:szCs w:val="28"/>
        </w:rPr>
        <w:t xml:space="preserve"> А.В.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733C01" w:rsidRPr="00733C01">
        <w:rPr>
          <w:rFonts w:eastAsia="SimSun"/>
          <w:sz w:val="28"/>
          <w:szCs w:val="28"/>
        </w:rPr>
        <w:t>15.02.15 Технология металлообрабатывающего производства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C40E30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</w:t>
      </w:r>
      <w:r w:rsidR="001241BD">
        <w:rPr>
          <w:sz w:val="28"/>
          <w:szCs w:val="28"/>
        </w:rPr>
        <w:t>9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Pr="006952F8" w:rsidRDefault="00AD1624" w:rsidP="00695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733C01" w:rsidRPr="00733C01">
        <w:rPr>
          <w:rFonts w:eastAsia="SimSun"/>
          <w:sz w:val="28"/>
          <w:szCs w:val="28"/>
        </w:rPr>
        <w:t>15.02.15 Технология металлообрабатывающего производства</w:t>
      </w:r>
      <w:r w:rsidR="00733C01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 w:rsidR="00733C01" w:rsidRPr="00733C01">
        <w:rPr>
          <w:rFonts w:eastAsia="SimSun"/>
          <w:sz w:val="28"/>
          <w:szCs w:val="28"/>
        </w:rPr>
        <w:t>15.02.15 Технология металлообрабатывающего производства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</w:t>
      </w:r>
      <w:r w:rsidR="00733C01" w:rsidRPr="00733C01">
        <w:rPr>
          <w:spacing w:val="-1"/>
          <w:sz w:val="28"/>
          <w:szCs w:val="28"/>
        </w:rPr>
        <w:t>от 9 декабря 2016 г. N 1561</w:t>
      </w:r>
      <w:r w:rsidR="006952F8" w:rsidRPr="001165A7">
        <w:t>,</w:t>
      </w:r>
      <w:r w:rsidR="006952F8">
        <w:rPr>
          <w:sz w:val="28"/>
          <w:szCs w:val="28"/>
        </w:rPr>
        <w:t xml:space="preserve"> </w:t>
      </w:r>
      <w:r w:rsidRPr="00763021">
        <w:rPr>
          <w:sz w:val="28"/>
          <w:szCs w:val="28"/>
        </w:rPr>
        <w:t xml:space="preserve">примерной программой воспитания по </w:t>
      </w:r>
      <w:r w:rsidRPr="00763021">
        <w:rPr>
          <w:spacing w:val="-1"/>
          <w:sz w:val="28"/>
          <w:szCs w:val="28"/>
        </w:rPr>
        <w:t xml:space="preserve">специальности </w:t>
      </w:r>
    </w:p>
    <w:p w:rsidR="00C20D5C" w:rsidRDefault="00C20D5C">
      <w:pPr>
        <w:pStyle w:val="af"/>
        <w:spacing w:after="0"/>
        <w:ind w:left="0" w:firstLine="567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1165A7">
      <w:pPr>
        <w:pStyle w:val="af"/>
        <w:spacing w:after="0"/>
        <w:ind w:left="0"/>
        <w:rPr>
          <w:sz w:val="28"/>
          <w:szCs w:val="28"/>
          <w:lang w:val="ru-RU"/>
        </w:rPr>
      </w:pPr>
      <w:r w:rsidRPr="001165A7">
        <w:rPr>
          <w:sz w:val="28"/>
          <w:szCs w:val="28"/>
          <w:lang w:val="ru-RU"/>
        </w:rPr>
        <w:t xml:space="preserve">Правдина Н.В.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</w:p>
    <w:p w:rsidR="001165A7" w:rsidRDefault="00733C01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eastAsia="SimSun"/>
        </w:rPr>
      </w:pPr>
      <w:r w:rsidRPr="00733C01">
        <w:t>15.02.15 Технология металлообрабатывающего производства</w:t>
      </w:r>
    </w:p>
    <w:p w:rsidR="001165A7" w:rsidRDefault="001165A7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1165A7" w:rsidRPr="001165A7">
        <w:rPr>
          <w:rFonts w:ascii="Times New Roman" w:eastAsia="SimSun" w:hAnsi="Times New Roman"/>
          <w:sz w:val="28"/>
          <w:szCs w:val="28"/>
        </w:rPr>
        <w:t>15.02.08 Технология машиностроения</w:t>
      </w:r>
      <w:r w:rsidR="0011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сооружений дело разработана с учетом: </w:t>
      </w:r>
    </w:p>
    <w:p w:rsidR="00733C01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733C01" w:rsidRPr="00733C01">
        <w:rPr>
          <w:rFonts w:ascii="Times New Roman" w:hAnsi="Times New Roman"/>
          <w:sz w:val="28"/>
          <w:szCs w:val="28"/>
        </w:rPr>
        <w:t>15.02.15 Технология металлообрабатывающего производства, утвержденным приказом Министерства образования и науки Российской Федерации от 9 декабря 2016 г. N 1561</w:t>
      </w:r>
      <w:r>
        <w:rPr>
          <w:rFonts w:ascii="Times New Roman" w:hAnsi="Times New Roman"/>
          <w:sz w:val="28"/>
          <w:szCs w:val="28"/>
        </w:rPr>
        <w:t xml:space="preserve">; примерной программы по специальности </w:t>
      </w:r>
      <w:r w:rsidR="00733C01" w:rsidRPr="00733C01">
        <w:rPr>
          <w:rFonts w:ascii="Times New Roman" w:hAnsi="Times New Roman"/>
          <w:sz w:val="28"/>
          <w:szCs w:val="28"/>
        </w:rPr>
        <w:t>15.02.15 Технология металлообрабатывающего производства</w:t>
      </w:r>
      <w:r w:rsidR="00733C01">
        <w:rPr>
          <w:rFonts w:ascii="Times New Roman" w:hAnsi="Times New Roman"/>
          <w:sz w:val="28"/>
          <w:szCs w:val="28"/>
        </w:rPr>
        <w:t>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733C01" w:rsidRDefault="00AD1624" w:rsidP="001165A7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733C01" w:rsidRPr="00733C01">
        <w:rPr>
          <w:rFonts w:eastAsia="SimSun"/>
          <w:sz w:val="28"/>
          <w:szCs w:val="28"/>
        </w:rPr>
        <w:t xml:space="preserve">15.02.15 Технология металлообрабатывающего производства </w:t>
      </w:r>
    </w:p>
    <w:p w:rsidR="00C20D5C" w:rsidRPr="009270E7" w:rsidRDefault="00AD1624" w:rsidP="001165A7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733C01" w:rsidRPr="00733C01">
        <w:rPr>
          <w:rFonts w:eastAsia="SimSun"/>
          <w:sz w:val="28"/>
          <w:szCs w:val="28"/>
        </w:rPr>
        <w:t xml:space="preserve">15.02.15 Технология металлообрабатывающего производства </w:t>
      </w:r>
      <w:r>
        <w:rPr>
          <w:sz w:val="28"/>
          <w:szCs w:val="28"/>
        </w:rPr>
        <w:t xml:space="preserve">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1165A7" w:rsidRPr="001165A7">
        <w:rPr>
          <w:sz w:val="28"/>
          <w:szCs w:val="28"/>
        </w:rPr>
        <w:t xml:space="preserve">от </w:t>
      </w:r>
      <w:r w:rsidR="00733C01" w:rsidRPr="00733C01">
        <w:rPr>
          <w:sz w:val="28"/>
          <w:szCs w:val="28"/>
        </w:rPr>
        <w:t>от 9 декабря 2016 г. N 1561</w:t>
      </w:r>
      <w:r w:rsidR="00733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33C01" w:rsidRPr="00733C01">
        <w:rPr>
          <w:sz w:val="28"/>
          <w:szCs w:val="28"/>
        </w:rPr>
        <w:t>15.02.15 Технология металлообрабатывающего производства</w:t>
      </w:r>
      <w:r w:rsidR="00733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</w:t>
      </w:r>
      <w:r>
        <w:rPr>
          <w:sz w:val="28"/>
          <w:szCs w:val="28"/>
        </w:rPr>
        <w:lastRenderedPageBreak/>
        <w:t xml:space="preserve">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03. Планировать и реализовывать собственное профессиональное и личностное развитие.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7202DC">
        <w:rPr>
          <w:rFonts w:eastAsiaTheme="minorEastAsia"/>
          <w:sz w:val="28"/>
          <w:szCs w:val="28"/>
        </w:rPr>
        <w:tab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09. Использовать информационные технологии в профессиональной деятельности.</w:t>
      </w:r>
      <w:r w:rsidRPr="007202DC">
        <w:rPr>
          <w:rFonts w:eastAsiaTheme="minorEastAsia"/>
          <w:sz w:val="28"/>
          <w:szCs w:val="28"/>
        </w:rPr>
        <w:tab/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202DC" w:rsidRDefault="007202DC" w:rsidP="001241BD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7202DC">
        <w:rPr>
          <w:rFonts w:eastAsiaTheme="minorEastAsia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20D5C" w:rsidRDefault="00AD1624" w:rsidP="001165A7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</w:t>
      </w:r>
      <w:r>
        <w:rPr>
          <w:sz w:val="28"/>
          <w:szCs w:val="28"/>
        </w:rPr>
        <w:lastRenderedPageBreak/>
        <w:t>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41614A" w:rsidRPr="001241BD" w:rsidRDefault="00AD1624" w:rsidP="001241B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5C2A37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компетенциям «</w:t>
      </w:r>
      <w:r w:rsidR="005C2A37">
        <w:rPr>
          <w:sz w:val="28"/>
          <w:szCs w:val="28"/>
        </w:rPr>
        <w:t>Токарные работы с ЧПУ»</w:t>
      </w:r>
      <w:r w:rsidRPr="00B719E9">
        <w:rPr>
          <w:sz w:val="28"/>
          <w:szCs w:val="28"/>
        </w:rPr>
        <w:t xml:space="preserve"> «</w:t>
      </w:r>
      <w:r w:rsidR="005C2A37">
        <w:rPr>
          <w:sz w:val="28"/>
          <w:szCs w:val="28"/>
        </w:rPr>
        <w:t>Фрезерные работы с ЧПУ»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1165A7" w:rsidRPr="001165A7">
        <w:rPr>
          <w:sz w:val="28"/>
          <w:szCs w:val="28"/>
        </w:rPr>
        <w:t>15.02.</w:t>
      </w:r>
      <w:r w:rsidR="007202DC">
        <w:rPr>
          <w:sz w:val="28"/>
          <w:szCs w:val="28"/>
        </w:rPr>
        <w:t>15</w:t>
      </w:r>
      <w:r w:rsidR="001165A7" w:rsidRPr="001165A7">
        <w:rPr>
          <w:sz w:val="28"/>
          <w:szCs w:val="28"/>
        </w:rPr>
        <w:t xml:space="preserve"> </w:t>
      </w:r>
      <w:r w:rsidR="007202DC" w:rsidRPr="007202DC">
        <w:rPr>
          <w:sz w:val="28"/>
          <w:szCs w:val="28"/>
        </w:rPr>
        <w:t>Технология металлообрабатывающего производства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lastRenderedPageBreak/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ООО </w:t>
      </w:r>
      <w:r w:rsidR="009665A8">
        <w:rPr>
          <w:sz w:val="28"/>
          <w:szCs w:val="28"/>
        </w:rPr>
        <w:t xml:space="preserve">ЛадаИнструмент, </w:t>
      </w:r>
      <w:r>
        <w:rPr>
          <w:sz w:val="28"/>
          <w:szCs w:val="28"/>
        </w:rPr>
        <w:t>АО ВЦМ;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592CB4" w:rsidRPr="00B719E9" w:rsidRDefault="00592CB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</w:t>
      </w:r>
      <w:r w:rsidR="001241BD">
        <w:rPr>
          <w:sz w:val="28"/>
          <w:szCs w:val="28"/>
        </w:rPr>
        <w:t>Молодежное предпринимательство: определения, трудности, перспективы развития»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на </w:t>
      </w:r>
      <w:r w:rsidR="00592CB4">
        <w:rPr>
          <w:sz w:val="28"/>
          <w:szCs w:val="28"/>
        </w:rPr>
        <w:t>5</w:t>
      </w:r>
      <w:r w:rsidRPr="00B719E9">
        <w:rPr>
          <w:sz w:val="28"/>
          <w:szCs w:val="28"/>
        </w:rPr>
        <w:t xml:space="preserve"> курсе «Организация государственной итоговой аттестации по специальности»;</w:t>
      </w:r>
      <w:r w:rsidR="00592CB4">
        <w:rPr>
          <w:sz w:val="28"/>
          <w:szCs w:val="28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Патриотическое, гражданское и правовое воспитание, формирование у обучающегося лидерских и социально-значимых качеств, социальной </w:t>
      </w:r>
      <w:r>
        <w:rPr>
          <w:sz w:val="28"/>
          <w:szCs w:val="28"/>
        </w:rPr>
        <w:lastRenderedPageBreak/>
        <w:t>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r>
        <w:rPr>
          <w:sz w:val="28"/>
          <w:szCs w:val="28"/>
        </w:rPr>
        <w:lastRenderedPageBreak/>
        <w:t>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115588" w:rsidRPr="00115588" w:rsidRDefault="00AD1624" w:rsidP="001241B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850"/>
        <w:gridCol w:w="851"/>
        <w:gridCol w:w="34"/>
        <w:gridCol w:w="108"/>
        <w:gridCol w:w="708"/>
        <w:gridCol w:w="142"/>
        <w:gridCol w:w="709"/>
        <w:gridCol w:w="850"/>
        <w:gridCol w:w="743"/>
      </w:tblGrid>
      <w:tr w:rsidR="007202DC" w:rsidTr="0034694B">
        <w:trPr>
          <w:trHeight w:val="92"/>
        </w:trPr>
        <w:tc>
          <w:tcPr>
            <w:tcW w:w="959" w:type="dxa"/>
            <w:vMerge w:val="restart"/>
            <w:vAlign w:val="center"/>
          </w:tcPr>
          <w:p w:rsidR="007202DC" w:rsidRDefault="007202DC">
            <w:pPr>
              <w:pStyle w:val="Default"/>
              <w:jc w:val="center"/>
            </w:pPr>
            <w:r>
              <w:t>№</w:t>
            </w:r>
          </w:p>
          <w:p w:rsidR="007202DC" w:rsidRDefault="007202DC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7202DC" w:rsidRDefault="007202DC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7202DC" w:rsidRDefault="007202DC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7202DC" w:rsidRDefault="007202DC" w:rsidP="0034694B">
            <w:pPr>
              <w:pStyle w:val="Default"/>
              <w:ind w:right="-108"/>
              <w:jc w:val="center"/>
            </w:pPr>
            <w:r>
              <w:t>Значение показателя учебной группы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202DC" w:rsidRDefault="007202DC">
            <w:pPr>
              <w:pStyle w:val="Default"/>
              <w:jc w:val="center"/>
            </w:pPr>
          </w:p>
        </w:tc>
      </w:tr>
      <w:tr w:rsidR="007202DC" w:rsidTr="0034694B">
        <w:trPr>
          <w:trHeight w:val="92"/>
        </w:trPr>
        <w:tc>
          <w:tcPr>
            <w:tcW w:w="959" w:type="dxa"/>
            <w:vMerge/>
          </w:tcPr>
          <w:p w:rsidR="007202DC" w:rsidRDefault="007202DC">
            <w:pPr>
              <w:pStyle w:val="Default"/>
              <w:jc w:val="center"/>
            </w:pPr>
          </w:p>
        </w:tc>
        <w:tc>
          <w:tcPr>
            <w:tcW w:w="4536" w:type="dxa"/>
            <w:vMerge/>
          </w:tcPr>
          <w:p w:rsidR="007202DC" w:rsidRDefault="007202DC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7202DC" w:rsidRDefault="007202D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2DC" w:rsidRDefault="007202DC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202DC" w:rsidRDefault="007202DC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202DC" w:rsidRDefault="007202DC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2DC" w:rsidRDefault="007202DC">
            <w:pPr>
              <w:pStyle w:val="Default"/>
              <w:jc w:val="center"/>
            </w:pPr>
            <w:r>
              <w:t>на 4 курсе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202DC" w:rsidRDefault="0034694B" w:rsidP="0034694B">
            <w:pPr>
              <w:pStyle w:val="Default"/>
              <w:jc w:val="center"/>
            </w:pPr>
            <w:r>
              <w:t>на 5 курсе</w:t>
            </w:r>
          </w:p>
        </w:tc>
      </w:tr>
      <w:tr w:rsidR="00D15930" w:rsidTr="00592CB4">
        <w:trPr>
          <w:trHeight w:val="92"/>
        </w:trPr>
        <w:tc>
          <w:tcPr>
            <w:tcW w:w="959" w:type="dxa"/>
          </w:tcPr>
          <w:p w:rsidR="00D15930" w:rsidRDefault="00D15930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9531" w:type="dxa"/>
            <w:gridSpan w:val="10"/>
          </w:tcPr>
          <w:p w:rsidR="00D15930" w:rsidRDefault="00D159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5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4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11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5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5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5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43" w:type="dxa"/>
            <w:shd w:val="clear" w:color="auto" w:fill="FFFFFF" w:themeFill="background1"/>
          </w:tcPr>
          <w:p w:rsidR="0034694B" w:rsidRDefault="0034694B" w:rsidP="0034694B">
            <w:pPr>
              <w:pStyle w:val="Default"/>
              <w:jc w:val="center"/>
            </w:pPr>
            <w:r>
              <w:t>50</w:t>
            </w:r>
          </w:p>
          <w:p w:rsidR="007202DC" w:rsidRDefault="007202DC" w:rsidP="0034694B">
            <w:pPr>
              <w:pStyle w:val="Default"/>
              <w:jc w:val="center"/>
            </w:pP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both"/>
            </w:pPr>
            <w:r>
              <w:t>90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90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90</w:t>
            </w:r>
          </w:p>
        </w:tc>
      </w:tr>
      <w:tr w:rsidR="0034694B" w:rsidTr="0034694B">
        <w:trPr>
          <w:trHeight w:val="92"/>
        </w:trPr>
        <w:tc>
          <w:tcPr>
            <w:tcW w:w="959" w:type="dxa"/>
          </w:tcPr>
          <w:p w:rsidR="0034694B" w:rsidRDefault="0034694B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34694B" w:rsidRDefault="0034694B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 качеством обучения,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34694B" w:rsidRDefault="0034694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34694B" w:rsidRDefault="0034694B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34694B" w:rsidRDefault="0034694B">
            <w:r w:rsidRPr="00E24859">
              <w:t>80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4694B" w:rsidRDefault="0034694B">
            <w:r w:rsidRPr="00E24859"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:rsidR="0034694B" w:rsidRDefault="0034694B">
            <w:r w:rsidRPr="00E24859">
              <w:t>80</w:t>
            </w:r>
          </w:p>
        </w:tc>
        <w:tc>
          <w:tcPr>
            <w:tcW w:w="743" w:type="dxa"/>
            <w:shd w:val="clear" w:color="auto" w:fill="FFFFFF" w:themeFill="background1"/>
          </w:tcPr>
          <w:p w:rsidR="0034694B" w:rsidRDefault="0034694B">
            <w:r w:rsidRPr="00E24859">
              <w:t>80</w:t>
            </w:r>
          </w:p>
        </w:tc>
      </w:tr>
      <w:tr w:rsidR="0034694B" w:rsidTr="0034694B">
        <w:trPr>
          <w:trHeight w:val="92"/>
        </w:trPr>
        <w:tc>
          <w:tcPr>
            <w:tcW w:w="959" w:type="dxa"/>
          </w:tcPr>
          <w:p w:rsidR="0034694B" w:rsidRDefault="0034694B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34694B" w:rsidRDefault="0034694B">
            <w:pPr>
              <w:pStyle w:val="Default"/>
              <w:jc w:val="both"/>
            </w:pPr>
            <w:r>
              <w:t xml:space="preserve"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</w:t>
            </w:r>
            <w:r>
              <w:lastRenderedPageBreak/>
              <w:t>группе</w:t>
            </w:r>
          </w:p>
        </w:tc>
        <w:tc>
          <w:tcPr>
            <w:tcW w:w="850" w:type="dxa"/>
          </w:tcPr>
          <w:p w:rsidR="0034694B" w:rsidRDefault="0034694B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34694B" w:rsidRDefault="0034694B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34694B" w:rsidRDefault="0034694B">
            <w:r w:rsidRPr="006D53A6">
              <w:t>50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4694B" w:rsidRDefault="0034694B">
            <w:r w:rsidRPr="006D53A6"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34694B" w:rsidRDefault="0034694B">
            <w:r w:rsidRPr="006D53A6">
              <w:t>50</w:t>
            </w:r>
          </w:p>
        </w:tc>
        <w:tc>
          <w:tcPr>
            <w:tcW w:w="743" w:type="dxa"/>
            <w:shd w:val="clear" w:color="auto" w:fill="FFFFFF" w:themeFill="background1"/>
          </w:tcPr>
          <w:p w:rsidR="0034694B" w:rsidRDefault="0034694B">
            <w:r w:rsidRPr="006D53A6">
              <w:t>50</w:t>
            </w:r>
          </w:p>
        </w:tc>
      </w:tr>
      <w:tr w:rsidR="0034694B" w:rsidTr="0034694B">
        <w:trPr>
          <w:trHeight w:val="92"/>
        </w:trPr>
        <w:tc>
          <w:tcPr>
            <w:tcW w:w="959" w:type="dxa"/>
          </w:tcPr>
          <w:p w:rsidR="0034694B" w:rsidRDefault="0034694B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34694B" w:rsidRDefault="0034694B">
            <w:pPr>
              <w:pStyle w:val="Default"/>
              <w:jc w:val="both"/>
            </w:pPr>
            <w:r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50" w:type="dxa"/>
          </w:tcPr>
          <w:p w:rsidR="0034694B" w:rsidRDefault="0034694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34694B" w:rsidRDefault="0034694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34694B" w:rsidRDefault="0034694B">
            <w:r w:rsidRPr="005770C7">
              <w:t>60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4694B" w:rsidRDefault="0034694B">
            <w:r w:rsidRPr="005770C7"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34694B" w:rsidRDefault="0034694B">
            <w:r w:rsidRPr="005770C7">
              <w:t>60</w:t>
            </w:r>
          </w:p>
        </w:tc>
        <w:tc>
          <w:tcPr>
            <w:tcW w:w="743" w:type="dxa"/>
            <w:shd w:val="clear" w:color="auto" w:fill="FFFFFF" w:themeFill="background1"/>
          </w:tcPr>
          <w:p w:rsidR="0034694B" w:rsidRDefault="0034694B">
            <w:r w:rsidRPr="005770C7">
              <w:t>60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70</w:t>
            </w:r>
          </w:p>
        </w:tc>
      </w:tr>
      <w:tr w:rsidR="007202DC" w:rsidTr="0034694B">
        <w:trPr>
          <w:trHeight w:val="2110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100</w:t>
            </w:r>
          </w:p>
        </w:tc>
      </w:tr>
      <w:tr w:rsidR="0034694B" w:rsidTr="0034694B">
        <w:trPr>
          <w:trHeight w:val="671"/>
        </w:trPr>
        <w:tc>
          <w:tcPr>
            <w:tcW w:w="959" w:type="dxa"/>
          </w:tcPr>
          <w:p w:rsidR="0034694B" w:rsidRDefault="0034694B" w:rsidP="0034694B">
            <w:pPr>
              <w:pStyle w:val="Default"/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9531" w:type="dxa"/>
            <w:gridSpan w:val="10"/>
          </w:tcPr>
          <w:p w:rsidR="0034694B" w:rsidRDefault="0034694B" w:rsidP="0034694B">
            <w:pPr>
              <w:pStyle w:val="Default"/>
              <w:spacing w:after="0"/>
              <w:jc w:val="center"/>
              <w:rPr>
                <w:b/>
              </w:rPr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7202DC" w:rsidTr="0034694B">
        <w:trPr>
          <w:trHeight w:val="700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70</w:t>
            </w:r>
          </w:p>
        </w:tc>
      </w:tr>
      <w:tr w:rsidR="007202DC" w:rsidTr="0034694B">
        <w:trPr>
          <w:trHeight w:val="87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1,0-5,0</w:t>
            </w:r>
          </w:p>
          <w:p w:rsidR="007202DC" w:rsidRDefault="007202DC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4</w:t>
            </w:r>
          </w:p>
        </w:tc>
      </w:tr>
      <w:tr w:rsidR="007202DC" w:rsidTr="0034694B">
        <w:trPr>
          <w:trHeight w:val="529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40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40</w:t>
            </w:r>
          </w:p>
        </w:tc>
      </w:tr>
      <w:tr w:rsidR="007202DC" w:rsidTr="0034694B">
        <w:trPr>
          <w:trHeight w:val="700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</w:t>
            </w:r>
          </w:p>
        </w:tc>
      </w:tr>
      <w:tr w:rsidR="007202DC" w:rsidTr="0034694B">
        <w:trPr>
          <w:trHeight w:val="87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70</w:t>
            </w:r>
          </w:p>
        </w:tc>
      </w:tr>
      <w:tr w:rsidR="007202DC" w:rsidTr="0034694B">
        <w:trPr>
          <w:trHeight w:val="184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100</w:t>
            </w:r>
          </w:p>
        </w:tc>
      </w:tr>
      <w:tr w:rsidR="007202DC" w:rsidTr="0034694B">
        <w:trPr>
          <w:trHeight w:val="1871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70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%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100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00</w:t>
            </w:r>
          </w:p>
        </w:tc>
      </w:tr>
      <w:tr w:rsidR="007202DC" w:rsidTr="0034694B">
        <w:trPr>
          <w:trHeight w:val="357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0</w:t>
            </w:r>
          </w:p>
        </w:tc>
      </w:tr>
      <w:tr w:rsidR="007202DC" w:rsidTr="0034694B">
        <w:trPr>
          <w:trHeight w:val="92"/>
        </w:trPr>
        <w:tc>
          <w:tcPr>
            <w:tcW w:w="959" w:type="dxa"/>
          </w:tcPr>
          <w:p w:rsidR="007202DC" w:rsidRDefault="007202D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536" w:type="dxa"/>
          </w:tcPr>
          <w:p w:rsidR="007202DC" w:rsidRDefault="007202DC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50" w:type="dxa"/>
          </w:tcPr>
          <w:p w:rsidR="007202DC" w:rsidRDefault="007202D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2DC" w:rsidRDefault="007202DC">
            <w:pPr>
              <w:pStyle w:val="Default"/>
              <w:jc w:val="center"/>
            </w:pPr>
            <w:r>
              <w:t>0</w:t>
            </w:r>
          </w:p>
        </w:tc>
        <w:tc>
          <w:tcPr>
            <w:tcW w:w="743" w:type="dxa"/>
            <w:shd w:val="clear" w:color="auto" w:fill="FFFFFF" w:themeFill="background1"/>
          </w:tcPr>
          <w:p w:rsidR="007202DC" w:rsidRDefault="0034694B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1165A7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1165A7">
              <w:rPr>
                <w:sz w:val="28"/>
                <w:szCs w:val="28"/>
              </w:rPr>
              <w:t>15.02.08 Технология машиностроения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                             </w:t>
            </w:r>
            <w:r w:rsidR="001165A7" w:rsidRPr="001165A7">
              <w:rPr>
                <w:rFonts w:eastAsia="SimSun"/>
                <w:sz w:val="28"/>
                <w:szCs w:val="28"/>
              </w:rPr>
              <w:t xml:space="preserve">15.02.08 Технология машиностроения </w:t>
            </w: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5275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  <w:gridCol w:w="850"/>
      </w:tblGrid>
      <w:tr w:rsidR="00D15930" w:rsidTr="00D15930">
        <w:trPr>
          <w:trHeight w:val="349"/>
        </w:trPr>
        <w:tc>
          <w:tcPr>
            <w:tcW w:w="4251" w:type="dxa"/>
            <w:vMerge w:val="restart"/>
            <w:vAlign w:val="center"/>
          </w:tcPr>
          <w:p w:rsidR="00D15930" w:rsidRDefault="00D1593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D15930" w:rsidRDefault="00D1593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  <w:tc>
          <w:tcPr>
            <w:tcW w:w="850" w:type="dxa"/>
          </w:tcPr>
          <w:p w:rsidR="00D15930" w:rsidRDefault="00D1593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D15930" w:rsidTr="00592CB4">
        <w:trPr>
          <w:cantSplit/>
          <w:trHeight w:val="6227"/>
        </w:trPr>
        <w:tc>
          <w:tcPr>
            <w:tcW w:w="4251" w:type="dxa"/>
            <w:vMerge/>
          </w:tcPr>
          <w:p w:rsidR="00D15930" w:rsidRDefault="00D1593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D15930" w:rsidRDefault="00D1593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1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850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851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92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34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992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34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851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850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850" w:type="dxa"/>
            <w:textDirection w:val="btLr"/>
            <w:vAlign w:val="bottom"/>
          </w:tcPr>
          <w:p w:rsidR="00D15930" w:rsidRPr="00D15930" w:rsidRDefault="00D15930" w:rsidP="00D15930">
            <w:pPr>
              <w:rPr>
                <w:color w:val="000000"/>
                <w:sz w:val="20"/>
                <w:szCs w:val="20"/>
              </w:rPr>
            </w:pPr>
            <w:r w:rsidRPr="00D15930">
              <w:rPr>
                <w:color w:val="000000"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Общий гуманитарный и социально-экономический цикл</w:t>
            </w:r>
          </w:p>
        </w:tc>
        <w:tc>
          <w:tcPr>
            <w:tcW w:w="819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lastRenderedPageBreak/>
              <w:t>Основы философии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История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Иностранный язык в профессиональной деятельности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4....8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Физическая культура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4....8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Общие компетенции профессионала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1,3,4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Рынок труда и профессиональная карьера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5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Математический и общий естественнонаучный цикл</w:t>
            </w:r>
          </w:p>
        </w:tc>
        <w:tc>
          <w:tcPr>
            <w:tcW w:w="819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Математика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Информационные технологии в профессиональной деятельности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Информатика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Экологические основы природопользования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Общепрофессиональные дисциплины</w:t>
            </w:r>
          </w:p>
        </w:tc>
        <w:tc>
          <w:tcPr>
            <w:tcW w:w="819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Инженерная графика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Компьютерная графика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lastRenderedPageBreak/>
              <w:t>Техническая механика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Материаловедение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Метрология, стандартизация, сертификация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Процессы формообразования и инструменты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Технологическое оборудование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Технология машиностроения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Технологическая оснастка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5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Программирование для автоматизированного оборудования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Экономика и организация производства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7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Правовые основы профессиональной деятельности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Охрана труда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4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145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Безопасновть жизнедеятельности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Основы предпринимательства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9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 xml:space="preserve">Системы автоматизированного </w:t>
            </w:r>
            <w:r w:rsidRPr="00F20A9D">
              <w:lastRenderedPageBreak/>
              <w:t>проектирования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lastRenderedPageBreak/>
              <w:t>9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lastRenderedPageBreak/>
              <w:t>Основы финансовой грамотности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Профессиональные модули</w:t>
            </w:r>
          </w:p>
        </w:tc>
        <w:tc>
          <w:tcPr>
            <w:tcW w:w="819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Разработка технологических процессов и управляющих программ для изготовления деталей в металообрабатывающих и аддитивных производствах, в том числе автоматизированных</w:t>
            </w:r>
          </w:p>
        </w:tc>
        <w:tc>
          <w:tcPr>
            <w:tcW w:w="819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Технологический процесс и технологическая документайия по обработке заготовок с применением систем автоматизированного проектирования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3...6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Управляющие программы для обработки заготовок на металлорежущем и аддитивном оборудовании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Учебная практика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5,6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 xml:space="preserve">Разработка технологических процессов для сборки узлов и изделий </w:t>
            </w:r>
            <w:r w:rsidRPr="00F20A9D">
              <w:lastRenderedPageBreak/>
              <w:t>в механосборочном производстве, в том числе автоматизированном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lastRenderedPageBreak/>
              <w:t>7,8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lastRenderedPageBreak/>
      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6...8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Управляющие программы для автоматизированной сборки узлов и изделий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7,8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Учебная практика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6,7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7,8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Диагностика, наладка, подналадка и ремонт металлообрабатывающего и аддитивного оборудования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49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Учебная практика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lastRenderedPageBreak/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8..10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Контроль, наладка, подналадка и техническое обслуживание сборочного оборудования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8..10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Учебная практика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10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10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Организация деятельности подчиненного персонала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9,1</w:t>
            </w:r>
          </w:p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992" w:type="dxa"/>
          </w:tcPr>
          <w:p w:rsidR="00D15930" w:rsidRPr="00F20A9D" w:rsidRDefault="00D15930" w:rsidP="00592CB4"/>
        </w:tc>
        <w:tc>
          <w:tcPr>
            <w:tcW w:w="1134" w:type="dxa"/>
          </w:tcPr>
          <w:p w:rsidR="00D15930" w:rsidRPr="00F20A9D" w:rsidRDefault="00D15930" w:rsidP="00592CB4"/>
        </w:tc>
        <w:tc>
          <w:tcPr>
            <w:tcW w:w="851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  <w:tc>
          <w:tcPr>
            <w:tcW w:w="850" w:type="dxa"/>
          </w:tcPr>
          <w:p w:rsidR="00D15930" w:rsidRPr="00F20A9D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Планирование, организация и контроль деятельности подчиненного персонала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9,1о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F20A9D" w:rsidRDefault="00D15930" w:rsidP="00592CB4">
            <w:r w:rsidRPr="00F20A9D">
              <w:t>Учебная практика</w:t>
            </w:r>
          </w:p>
        </w:tc>
        <w:tc>
          <w:tcPr>
            <w:tcW w:w="819" w:type="dxa"/>
          </w:tcPr>
          <w:p w:rsidR="00D15930" w:rsidRPr="00F20A9D" w:rsidRDefault="00D15930" w:rsidP="00592CB4">
            <w:r w:rsidRPr="00F20A9D">
              <w:t>10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992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1134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1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  <w:tc>
          <w:tcPr>
            <w:tcW w:w="850" w:type="dxa"/>
          </w:tcPr>
          <w:p w:rsidR="00D15930" w:rsidRPr="00F20A9D" w:rsidRDefault="00D15930" w:rsidP="00592CB4">
            <w:r w:rsidRPr="00F20A9D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753804" w:rsidRDefault="00D15930" w:rsidP="00592CB4">
            <w:r w:rsidRPr="00753804">
              <w:t>10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t xml:space="preserve">"Выполнение работ по одной или нескольким профессиям рабочих, </w:t>
            </w:r>
            <w:r w:rsidRPr="00753804">
              <w:lastRenderedPageBreak/>
              <w:t>должностям служащих:</w:t>
            </w:r>
            <w:r>
              <w:t xml:space="preserve"> </w:t>
            </w:r>
            <w:r w:rsidRPr="00D15930">
              <w:t>16045 Оператор станков с ПУ"</w:t>
            </w:r>
          </w:p>
        </w:tc>
        <w:tc>
          <w:tcPr>
            <w:tcW w:w="819" w:type="dxa"/>
          </w:tcPr>
          <w:p w:rsidR="00D15930" w:rsidRPr="00753804" w:rsidRDefault="00D15930" w:rsidP="00592CB4"/>
        </w:tc>
        <w:tc>
          <w:tcPr>
            <w:tcW w:w="850" w:type="dxa"/>
          </w:tcPr>
          <w:p w:rsidR="00D15930" w:rsidRPr="00753804" w:rsidRDefault="00D15930" w:rsidP="00592CB4"/>
        </w:tc>
        <w:tc>
          <w:tcPr>
            <w:tcW w:w="851" w:type="dxa"/>
          </w:tcPr>
          <w:p w:rsidR="00D15930" w:rsidRPr="00753804" w:rsidRDefault="00D15930" w:rsidP="00592CB4"/>
        </w:tc>
        <w:tc>
          <w:tcPr>
            <w:tcW w:w="850" w:type="dxa"/>
          </w:tcPr>
          <w:p w:rsidR="00D15930" w:rsidRPr="00753804" w:rsidRDefault="00D15930" w:rsidP="00592CB4"/>
        </w:tc>
        <w:tc>
          <w:tcPr>
            <w:tcW w:w="851" w:type="dxa"/>
          </w:tcPr>
          <w:p w:rsidR="00D15930" w:rsidRPr="00753804" w:rsidRDefault="00D15930" w:rsidP="00592CB4"/>
        </w:tc>
        <w:tc>
          <w:tcPr>
            <w:tcW w:w="992" w:type="dxa"/>
          </w:tcPr>
          <w:p w:rsidR="00D15930" w:rsidRPr="00753804" w:rsidRDefault="00D15930" w:rsidP="00592CB4"/>
        </w:tc>
        <w:tc>
          <w:tcPr>
            <w:tcW w:w="1134" w:type="dxa"/>
          </w:tcPr>
          <w:p w:rsidR="00D15930" w:rsidRPr="00753804" w:rsidRDefault="00D15930" w:rsidP="00592CB4"/>
        </w:tc>
        <w:tc>
          <w:tcPr>
            <w:tcW w:w="992" w:type="dxa"/>
          </w:tcPr>
          <w:p w:rsidR="00D15930" w:rsidRPr="00753804" w:rsidRDefault="00D15930" w:rsidP="00592CB4"/>
        </w:tc>
        <w:tc>
          <w:tcPr>
            <w:tcW w:w="1134" w:type="dxa"/>
          </w:tcPr>
          <w:p w:rsidR="00D15930" w:rsidRPr="00753804" w:rsidRDefault="00D15930" w:rsidP="00592CB4"/>
        </w:tc>
        <w:tc>
          <w:tcPr>
            <w:tcW w:w="851" w:type="dxa"/>
          </w:tcPr>
          <w:p w:rsidR="00D15930" w:rsidRPr="00753804" w:rsidRDefault="00D15930" w:rsidP="00592CB4"/>
        </w:tc>
        <w:tc>
          <w:tcPr>
            <w:tcW w:w="850" w:type="dxa"/>
          </w:tcPr>
          <w:p w:rsidR="00D15930" w:rsidRPr="00753804" w:rsidRDefault="00D15930" w:rsidP="00592CB4"/>
        </w:tc>
        <w:tc>
          <w:tcPr>
            <w:tcW w:w="850" w:type="dxa"/>
          </w:tcPr>
          <w:p w:rsidR="00D15930" w:rsidRPr="00753804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lastRenderedPageBreak/>
              <w:t>Технология обработки на  станках с ПУ</w:t>
            </w:r>
          </w:p>
        </w:tc>
        <w:tc>
          <w:tcPr>
            <w:tcW w:w="819" w:type="dxa"/>
          </w:tcPr>
          <w:p w:rsidR="00D15930" w:rsidRPr="00753804" w:rsidRDefault="00D15930" w:rsidP="00592CB4">
            <w:r w:rsidRPr="00753804">
              <w:t>4,5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t>Учебная практика</w:t>
            </w:r>
          </w:p>
        </w:tc>
        <w:tc>
          <w:tcPr>
            <w:tcW w:w="819" w:type="dxa"/>
          </w:tcPr>
          <w:p w:rsidR="00D15930" w:rsidRPr="00753804" w:rsidRDefault="00D15930" w:rsidP="00592CB4">
            <w:r w:rsidRPr="00753804">
              <w:t>5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D15930" w:rsidRPr="00753804" w:rsidRDefault="00D15930" w:rsidP="00592CB4">
            <w:r w:rsidRPr="00753804">
              <w:t>5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/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753804" w:rsidRDefault="00D15930" w:rsidP="00592CB4">
            <w:r w:rsidRPr="00753804">
              <w:t>Преддипломная практика</w:t>
            </w:r>
          </w:p>
        </w:tc>
        <w:tc>
          <w:tcPr>
            <w:tcW w:w="819" w:type="dxa"/>
          </w:tcPr>
          <w:p w:rsidR="00D15930" w:rsidRPr="00753804" w:rsidRDefault="00D15930" w:rsidP="00592CB4">
            <w:r w:rsidRPr="00753804">
              <w:t>10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992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1134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1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  <w:tc>
          <w:tcPr>
            <w:tcW w:w="850" w:type="dxa"/>
          </w:tcPr>
          <w:p w:rsidR="00D15930" w:rsidRPr="00753804" w:rsidRDefault="00D15930" w:rsidP="00592CB4">
            <w:r w:rsidRPr="00753804">
              <w:t>+</w:t>
            </w:r>
          </w:p>
        </w:tc>
      </w:tr>
      <w:tr w:rsidR="00D15930" w:rsidTr="00D15930">
        <w:trPr>
          <w:trHeight w:val="368"/>
        </w:trPr>
        <w:tc>
          <w:tcPr>
            <w:tcW w:w="4251" w:type="dxa"/>
          </w:tcPr>
          <w:p w:rsidR="00D15930" w:rsidRPr="00BE1E91" w:rsidRDefault="00D15930" w:rsidP="00592CB4">
            <w:r w:rsidRPr="00BE1E91">
              <w:t>Государственная (итоговая) аттестация</w:t>
            </w:r>
          </w:p>
        </w:tc>
        <w:tc>
          <w:tcPr>
            <w:tcW w:w="819" w:type="dxa"/>
          </w:tcPr>
          <w:p w:rsidR="00D15930" w:rsidRPr="00BE1E91" w:rsidRDefault="00D15930" w:rsidP="00592CB4">
            <w:r w:rsidRPr="00BE1E91">
              <w:t>10</w:t>
            </w:r>
          </w:p>
        </w:tc>
        <w:tc>
          <w:tcPr>
            <w:tcW w:w="850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1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0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1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992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1134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992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1134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1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0" w:type="dxa"/>
          </w:tcPr>
          <w:p w:rsidR="00D15930" w:rsidRPr="00BE1E91" w:rsidRDefault="00D15930" w:rsidP="00592CB4">
            <w:r w:rsidRPr="00BE1E91">
              <w:t>+</w:t>
            </w:r>
          </w:p>
        </w:tc>
        <w:tc>
          <w:tcPr>
            <w:tcW w:w="850" w:type="dxa"/>
          </w:tcPr>
          <w:p w:rsidR="00D15930" w:rsidRDefault="00D15930" w:rsidP="00592CB4">
            <w:r w:rsidRPr="00BE1E91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92" w:rsidRDefault="009A6B92">
      <w:pPr>
        <w:spacing w:after="0" w:line="240" w:lineRule="auto"/>
      </w:pPr>
      <w:r>
        <w:separator/>
      </w:r>
    </w:p>
  </w:endnote>
  <w:endnote w:type="continuationSeparator" w:id="0">
    <w:p w:rsidR="009A6B92" w:rsidRDefault="009A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B4" w:rsidRDefault="00592CB4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92CB4" w:rsidRDefault="00592CB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B4" w:rsidRDefault="00592CB4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40E30">
      <w:rPr>
        <w:rStyle w:val="afc"/>
        <w:noProof/>
      </w:rPr>
      <w:t>2</w:t>
    </w:r>
    <w:r>
      <w:rPr>
        <w:rStyle w:val="afc"/>
      </w:rPr>
      <w:fldChar w:fldCharType="end"/>
    </w:r>
  </w:p>
  <w:p w:rsidR="00592CB4" w:rsidRDefault="00592CB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92" w:rsidRDefault="009A6B92">
      <w:pPr>
        <w:spacing w:after="0" w:line="240" w:lineRule="auto"/>
      </w:pPr>
      <w:r>
        <w:separator/>
      </w:r>
    </w:p>
  </w:footnote>
  <w:footnote w:type="continuationSeparator" w:id="0">
    <w:p w:rsidR="009A6B92" w:rsidRDefault="009A6B92">
      <w:pPr>
        <w:spacing w:after="0" w:line="240" w:lineRule="auto"/>
      </w:pPr>
      <w:r>
        <w:continuationSeparator/>
      </w:r>
    </w:p>
  </w:footnote>
  <w:footnote w:id="1">
    <w:p w:rsidR="00592CB4" w:rsidRDefault="00592CB4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592CB4" w:rsidRDefault="00592CB4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592CB4" w:rsidRDefault="00592CB4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36E06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5A7"/>
    <w:rsid w:val="0011685D"/>
    <w:rsid w:val="0011696D"/>
    <w:rsid w:val="0012288A"/>
    <w:rsid w:val="00122FA9"/>
    <w:rsid w:val="00122FE4"/>
    <w:rsid w:val="00123AEE"/>
    <w:rsid w:val="001241BD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4694B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2CB4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A37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2DC"/>
    <w:rsid w:val="00720999"/>
    <w:rsid w:val="00721A31"/>
    <w:rsid w:val="00722D2E"/>
    <w:rsid w:val="00725693"/>
    <w:rsid w:val="00733C01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05C7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665A8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A6B92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396B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A7914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98D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0E30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15930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69E9"/>
  <w15:docId w15:val="{773C1642-EC14-4AE0-B099-D90060A7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85D8B-C78A-48E1-BC01-33B57A1E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39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12</cp:revision>
  <cp:lastPrinted>2021-06-07T05:58:00Z</cp:lastPrinted>
  <dcterms:created xsi:type="dcterms:W3CDTF">2021-04-30T07:30:00Z</dcterms:created>
  <dcterms:modified xsi:type="dcterms:W3CDTF">2021-06-16T15:00:00Z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