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lang w:val="ru-RU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  <w:drawing>
          <wp:inline distT="0" distB="0" distL="114300" distR="114300">
            <wp:extent cx="6474460" cy="9378315"/>
            <wp:effectExtent l="0" t="0" r="2540" b="13335"/>
            <wp:docPr id="11" name="Изображение 11" descr="ТИТ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ТИТ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  <w:drawing>
          <wp:inline distT="0" distB="0" distL="114300" distR="114300">
            <wp:extent cx="6474460" cy="8904605"/>
            <wp:effectExtent l="0" t="0" r="2540" b="10795"/>
            <wp:docPr id="12" name="Изображение 12" descr="ТИТ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ТИТ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  <w:t>СОДЕРЖАНИЕ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1 Общие положения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cap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1.1 Нормативно-правовые основы разработки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программы подготовки специалистов среднего звена</w:t>
      </w:r>
      <w:r>
        <w:rPr>
          <w:rFonts w:hint="default" w:ascii="Times New Roman" w:hAnsi="Times New Roman" w:cs="Times New Roman"/>
          <w:caps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1.2 Нормативный срок освоения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программы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подготовки специалистов среднего звена</w:t>
      </w:r>
      <w:r>
        <w:rPr>
          <w:rFonts w:hint="default" w:ascii="Times New Roman" w:hAnsi="Times New Roman" w:cs="Times New Roman"/>
          <w:caps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284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mallCaps/>
          <w:sz w:val="24"/>
          <w:szCs w:val="24"/>
          <w:highlight w:val="none"/>
        </w:rPr>
        <w:t xml:space="preserve">1.3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Квалификационная характеристика выпускника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284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mallCaps/>
          <w:sz w:val="24"/>
          <w:szCs w:val="24"/>
          <w:highlight w:val="none"/>
        </w:rPr>
        <w:t xml:space="preserve">1.4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Термины, определения и используемые сокращения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567" w:right="0" w:rightChars="0" w:hanging="567"/>
        <w:jc w:val="both"/>
        <w:textAlignment w:val="auto"/>
        <w:outlineLvl w:val="9"/>
        <w:rPr>
          <w:rFonts w:hint="default" w:ascii="Times New Roman" w:hAnsi="Times New Roman" w:cs="Times New Roman"/>
          <w:cap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2 Характеристика профессиональной деятельности выпускников и требования к результатам освоения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программы подготовки специалистов среднего звена</w:t>
      </w:r>
      <w:r>
        <w:rPr>
          <w:rFonts w:hint="default" w:ascii="Times New Roman" w:hAnsi="Times New Roman" w:cs="Times New Roman"/>
          <w:caps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2.1 Область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профессиональной деятельности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2.2 Виды деятельности и компетенции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2.3 Специальные требования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left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    2.3.1 Формирование вариативной части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основной образовательной программы подготовки специалистов среднего звена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left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    2.3.2 Реализация профессионального модуля по освоению рабочей профессии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3 Документы, определяющие содержание и организацию образовательного процесса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3.1 </w:t>
      </w:r>
      <w:bookmarkStart w:id="0" w:name="OLE_LINK1"/>
      <w:bookmarkStart w:id="1" w:name="OLE_LINK2"/>
      <w:r>
        <w:rPr>
          <w:rFonts w:hint="default" w:ascii="Times New Roman" w:hAnsi="Times New Roman" w:cs="Times New Roman"/>
          <w:sz w:val="24"/>
          <w:szCs w:val="24"/>
          <w:highlight w:val="none"/>
        </w:rPr>
        <w:t>Учебный план очной и заочной формы обучения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3.2 </w:t>
      </w:r>
      <w:bookmarkEnd w:id="0"/>
      <w:bookmarkEnd w:id="1"/>
      <w:r>
        <w:rPr>
          <w:rFonts w:hint="default" w:ascii="Times New Roman" w:hAnsi="Times New Roman" w:cs="Times New Roman"/>
          <w:sz w:val="24"/>
          <w:szCs w:val="24"/>
          <w:highlight w:val="none"/>
        </w:rPr>
        <w:t>Календарный учебный график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3.3 Рабочие программы дисциплин, профессиональных модулей и практик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3.4 Календарно-тематические планы дисциплин, профессиональных модулей/междисциплинарных курсов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3.5 Учебно-методическая документация, обеспечивающая реализацию рабочих программ дисциплин и профессиональных модулей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709" w:right="0" w:rightChars="0" w:hanging="425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3.6 Учебно-методическая документация, обеспечивающая реализацию производственного обучения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567" w:right="0" w:rightChars="0" w:hanging="567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4 Материально-техническое обеспечение реализации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программы подготовки специалистов среднего звена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5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Оценка результатов освоения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программы подготовки специалистов среднего звена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540" w:right="0" w:rightChars="0" w:hanging="256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5.1 Контроль и оценка достижений обучающихся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540" w:right="0" w:rightChars="0" w:hanging="256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5.2 Порядок выполнения и за щиты выпускной квалификационной работы 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540" w:right="0" w:rightChars="0" w:hanging="256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5.3 Организация государственной итоговой аттестации выпускников</w:t>
      </w:r>
    </w:p>
    <w:p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center"/>
        <w:outlineLvl w:val="3"/>
        <w:rPr>
          <w:rFonts w:hint="default" w:ascii="Times New Roman" w:hAnsi="Times New Roman" w:cs="Times New Roman"/>
          <w:b/>
          <w:smallCaps/>
          <w:sz w:val="24"/>
          <w:szCs w:val="24"/>
          <w:highlight w:val="none"/>
        </w:rPr>
      </w:pPr>
    </w:p>
    <w:p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center"/>
        <w:outlineLvl w:val="3"/>
        <w:rPr>
          <w:rFonts w:hint="default" w:ascii="Times New Roman" w:hAnsi="Times New Roman" w:cs="Times New Roman"/>
          <w:b/>
          <w:smallCaps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/>
          <w:sz w:val="24"/>
          <w:szCs w:val="24"/>
          <w:highlight w:val="none"/>
        </w:rPr>
        <w:t>1 Общие положения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cap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/>
          <w:sz w:val="24"/>
          <w:szCs w:val="24"/>
          <w:highlight w:val="none"/>
        </w:rPr>
        <w:t xml:space="preserve">1.1 Нормативно-правовые основы разработки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ru-RU"/>
        </w:rPr>
        <w:t>основной образовательной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</w:rPr>
        <w:t>программы подготовки специалистов среднего звена</w:t>
      </w:r>
      <w:r>
        <w:rPr>
          <w:rFonts w:hint="default" w:ascii="Times New Roman" w:hAnsi="Times New Roman" w:cs="Times New Roman"/>
          <w:b/>
          <w:caps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Нормативную правовую основу разработки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программы подготовки специалистов среднего звена (далее -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ОП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) составляют: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" w:leftChars="0" w:right="0" w:rightChars="0" w:firstLine="710" w:firstLineChars="296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Федеральн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ый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закон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РФ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от 29.12.2012 г. №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273-ФЗ «Об образовании в Российской Федерации»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(ред.от 03.08.2018);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878" w:firstLineChars="366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 xml:space="preserve">Приказ Минобрнауки России от 10 января  № 2 «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uk-UA"/>
        </w:rPr>
        <w:t xml:space="preserve">Об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утверждении федерального государственного образовательного стандарта среднего профессионального образования по специальности 08.02.01 «Строительство и эксплуатация зданий и сооружений» (зарегистрирован Министерством юстиции Российской Федерации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26 января</w:t>
      </w:r>
      <w:r>
        <w:rPr>
          <w:rFonts w:hint="default" w:ascii="Times New Roman" w:hAnsi="Times New Roman" w:cs="Times New Roman"/>
          <w:bCs/>
          <w:i/>
          <w:sz w:val="24"/>
          <w:szCs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регистрационный № 49797);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878" w:firstLineChars="366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, с изменением, внесённым приказом Минобрнауки России от 22 января 2014 г. №31 (зарегистрирован Министерством юстиции РФ        7 марта 2014., регистрационный № 31539) и от 15 декабря 2014 г. № 1580 (зарегистрирован Министерством юстиции Российской Федерации 15 января 2015 г. , регистрационный № 35545);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10" w:leftChars="0" w:right="0" w:rightChars="0" w:firstLine="698" w:firstLineChars="291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- Письмо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 xml:space="preserve"> Министерства образования и науки Российской Федерации от 17.03.2015г. № 06-259 «О направлении доработанных рекомендаций по организации получения общего среднего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»;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10" w:leftChars="0" w:right="0" w:rightChars="0" w:firstLine="698" w:firstLineChars="291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- Письмо Минобрнауки России от 03.05.2015 №08-1189 «О направлении информации (вместе с «Методическими рекомендациями по воспитанию антикоррупционного мировоззрения у школьников и студентов);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10" w:leftChars="0" w:right="0" w:rightChars="0" w:firstLine="698" w:firstLineChars="291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-  Письмо ФГАУ «ФИРО» об уточнении Рекомендаций по организации получения среднего общего образования в пределах освоения ОП СПО на базе основного общего образования с учётом требований ФГОС и получаемой профессии или специальности СПО (протокол№3 от 25.05.2017 г. научно-методического совета Центра профессионального образования и систем квалификаций ФГАУ «ФИРО»);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878" w:firstLineChars="366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, с изменениями, внесёнными приказами Минобрнауки России от 31 января 2014 г. № 74 (зарегистрирован Министерством юстиции Российской Федерации 5 марта 2014 г., регистрационный № 31524) и от  17 ноября 2017 г. №1138 (зарегистрирован Министерством юстиции Российской Федерации 12 декабря 2017 г., регистрационный № 49221));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878" w:firstLineChars="366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, с изменениями, внесёнными приказом Минобрнауки России от 18 августа 2016 г.№ 1061 (зарегистрирован Министерством юстиции Российской Федерации 7 сентября  2016 г., регистрационный № 43586);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10" w:leftChars="0" w:right="0" w:rightChars="0" w:firstLine="698" w:firstLineChars="291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 xml:space="preserve">-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;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after="0" w:line="360" w:lineRule="auto"/>
        <w:ind w:left="10" w:leftChars="0" w:right="0" w:rightChars="0" w:firstLine="698" w:firstLineChars="291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Приказ  Министерства образования и науки Самарской области «Об утверждении Положения  о региональной системе квалификационной  аттестации по профессиональным модулям основных профессиональных образовательных программ и основных программ профессионального обучения» от 16.07.2014 №229-од;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after="0" w:line="360" w:lineRule="auto"/>
        <w:ind w:left="10" w:leftChars="0" w:right="0" w:rightChars="0" w:firstLine="698" w:firstLineChars="291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- Письмо Министерства образования и науки Российской Федерации от 20.10.2010 г. № 12-696 «О разъяснениях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образования» (далее - Разъяснения);</w:t>
      </w:r>
    </w:p>
    <w:p>
      <w:pPr>
        <w:spacing w:line="360" w:lineRule="auto"/>
        <w:ind w:left="9" w:leftChars="0" w:firstLine="710" w:firstLineChars="296"/>
        <w:jc w:val="both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>- Письм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о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 xml:space="preserve"> Министерства образования и науки Самарской области от 11.05.2016 № 16/1258 «Об актуализации образовательных программ среднего профессионального образования с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учётом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 xml:space="preserve"> требований профессиональных стандартов и о промежуточной аттестации обучающихся в рамках региональной системы квалификационной аттестации по профессиональным модулям основных профессиональных образовательных программ и основных программ профессионального обучения;</w:t>
      </w:r>
    </w:p>
    <w:p>
      <w:pPr>
        <w:spacing w:line="360" w:lineRule="auto"/>
        <w:ind w:left="9" w:leftChars="0" w:firstLine="710" w:firstLineChars="296"/>
        <w:jc w:val="both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>- Методические рекомендации по формированию вариативной составляющей (части) основных профессиональных образовательных программ в соответствии с федеральными государственными образовательными стандартами среднего профессионального образования в Самарской области (сопроводительное письмо МОиН СО от 15.06.2018 №16/1846);</w:t>
      </w:r>
    </w:p>
    <w:p>
      <w:pPr>
        <w:spacing w:line="360" w:lineRule="auto"/>
        <w:ind w:left="9" w:leftChars="0" w:firstLine="710" w:firstLineChars="296"/>
        <w:jc w:val="both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- Методические рекомендации Министерства образования и науки РФ и Банка России «По включению основ финансовой грамотности в образовательные программы среднего профессионального образования»;</w:t>
      </w:r>
    </w:p>
    <w:p>
      <w:pPr>
        <w:spacing w:line="360" w:lineRule="auto"/>
        <w:ind w:left="9" w:leftChars="0" w:firstLine="710" w:firstLineChars="296"/>
        <w:jc w:val="both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- Письмо Министерства образования и науки Самарской области «О включении с 1 сентября 2019 года в рабочие программы профессиональных модулей учебного элемента «Принципы и практики бережливого производства» от 30.08.2019 №16/2806;</w:t>
      </w:r>
    </w:p>
    <w:p>
      <w:pPr>
        <w:spacing w:line="360" w:lineRule="auto"/>
        <w:ind w:left="9" w:leftChars="0" w:firstLine="710" w:firstLineChars="296"/>
        <w:jc w:val="both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ru-RU"/>
        </w:rPr>
        <w:t>- Методические рекомендации о проведении аттестации с использованием механизма демонстрационного экзамена, утверждённые распоряжением Министерства просвещения Российской Федерации от 1 апреля 2019 г. № Р-42;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878" w:firstLineChars="366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Министерства труда и социальной защиты Российской Федерации от 11 апреля 2014 № 238н</w:t>
      </w:r>
      <w:r>
        <w:rPr>
          <w:rFonts w:hint="default" w:ascii="Times New Roman" w:hAnsi="Times New Roman" w:cs="Times New Roman"/>
          <w:bCs/>
          <w:i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 xml:space="preserve">«Об утверждении профессионального стандарта «Специалист по эксплуатации и обслуживанию многоквартирного дома» (зарегистрирован Министерством юстиции Российской Федерации 22 мая 2014 г. </w:t>
      </w:r>
      <w:r>
        <w:rPr>
          <w:rFonts w:hint="default" w:ascii="Times New Roman" w:hAnsi="Times New Roman" w:cs="Times New Roman"/>
          <w:bCs/>
          <w:i/>
          <w:sz w:val="24"/>
          <w:szCs w:val="24"/>
          <w:highlight w:val="none"/>
        </w:rPr>
        <w:t xml:space="preserve">,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регистрационный № 32395),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 xml:space="preserve">с изменениями,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внесёнными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 xml:space="preserve"> приказом Министерства труда и социальной защиты Российской Федерации от 12  декабря 2016 г. № 727н (зарегистрирован Министерством юстиции Российской Федерации 13  января 2017 г., регистрационный № 45230)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;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1320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878" w:firstLineChars="366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Министерства труда и социальной защиты  Российской Федерации от 26 июня 2017 № 516н «Об утверждении профессионального стандарта «Организатор строительного производства» (зарегистрирован Министерством юстиции Российской Федерации 18 июля 2017 г., регистрационный № 47442), с изменениями, внесенными приказом Министерства труда и социальной защиты Российской Федерации от 12 сентября 2017 г. № 671н (зарегистрирован Министерством юстиции Российской Федерации 3 октября 2017 г., регистрационный № 48407)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;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1121" w:firstLineChars="0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- 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Министерства труда и социальной защиты  Российской Федерации от 27 ноября 2014 г. №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 xml:space="preserve"> 943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 xml:space="preserve">н «Об утверждении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п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рофессиональн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о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стандарт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«Специалист в области производственно-технического и технологического обеспечения строительного производства»,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(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зарегистрирован 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 xml:space="preserve">Министерством юстиции Российской Федерации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22.12.2014г. № 35301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)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;</w:t>
      </w:r>
    </w:p>
    <w:p>
      <w:pPr>
        <w:keepNext w:val="0"/>
        <w:keepLines w:val="0"/>
        <w:pageBreakBefore w:val="0"/>
        <w:numPr>
          <w:ilvl w:val="0"/>
          <w:numId w:val="1"/>
        </w:numPr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9" w:leftChars="0" w:right="0" w:rightChars="0" w:firstLine="868" w:firstLineChars="362"/>
        <w:jc w:val="both"/>
        <w:textAlignment w:val="auto"/>
        <w:outlineLvl w:val="9"/>
        <w:rPr>
          <w:rFonts w:hint="default" w:ascii="Times New Roman" w:hAnsi="Times New Roman" w:cs="Times New Roman"/>
          <w:bCs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color w:val="auto"/>
          <w:sz w:val="24"/>
          <w:szCs w:val="24"/>
          <w:highlight w:val="none"/>
        </w:rPr>
        <w:t>Приказ Министерства труда и социальной защиты  Российской Федерации от 27 ноября 2014 г. №</w:t>
      </w:r>
      <w:r>
        <w:rPr>
          <w:rFonts w:hint="default" w:ascii="Times New Roman" w:hAnsi="Times New Roman" w:cs="Times New Roman"/>
          <w:bCs/>
          <w:color w:val="auto"/>
          <w:sz w:val="24"/>
          <w:szCs w:val="24"/>
          <w:highlight w:val="none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color w:val="auto"/>
          <w:sz w:val="24"/>
          <w:szCs w:val="24"/>
          <w:highlight w:val="none"/>
        </w:rPr>
        <w:t>983н «Об утверждении профессионального стандарта «Специалист в области планово-экономического обеспечения строительного производства» (зарегистрирован Министерством юстиции Российской Федерации 30 декабря 2014 г., регистрационный  № 35482)</w:t>
      </w:r>
      <w:r>
        <w:rPr>
          <w:rFonts w:hint="default" w:ascii="Times New Roman" w:hAnsi="Times New Roman" w:cs="Times New Roman"/>
          <w:bCs/>
          <w:color w:val="auto"/>
          <w:sz w:val="24"/>
          <w:szCs w:val="24"/>
          <w:highlight w:val="none"/>
          <w:lang w:val="ru-RU"/>
        </w:rPr>
        <w:t>;</w:t>
      </w:r>
    </w:p>
    <w:p>
      <w:pPr>
        <w:keepNext w:val="0"/>
        <w:keepLines w:val="0"/>
        <w:pageBreakBefore w:val="0"/>
        <w:numPr>
          <w:ilvl w:val="0"/>
          <w:numId w:val="1"/>
        </w:numPr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9" w:leftChars="0" w:right="0" w:rightChars="0" w:firstLine="868" w:firstLineChars="362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Министерства труда и социальной защиты  Российской Федерации от 4 декабря 2014г. № 972н «Об утверждении профессионального стандарта «Специалист в области обеспечения строительного производства материалами и конструкциями»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(зарегистрирован Министерством юстиции Российской Федерации 29 декабря 2014 г., регистрационный №  35470)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;</w:t>
      </w:r>
    </w:p>
    <w:p>
      <w:pPr>
        <w:keepNext w:val="0"/>
        <w:keepLines w:val="0"/>
        <w:pageBreakBefore w:val="0"/>
        <w:numPr>
          <w:ilvl w:val="0"/>
          <w:numId w:val="1"/>
        </w:numPr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9" w:leftChars="0" w:right="0" w:rightChars="0" w:firstLine="868" w:firstLineChars="362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Приказ Министерства труда и социальной защиты  Российской Федерации от 13 апреля 2016 г. № 165н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 «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Об утверждении профессионального стандарта «Специалист по строительному контролю систем защиты от коррозии»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(зарегистрирован Министерством юстиции Российской Федерации 16 мая 2016 г., регистрационный № 42104)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ru-RU"/>
        </w:rPr>
        <w:t>;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9" w:leftChars="0" w:right="0" w:rightChars="0" w:firstLine="868" w:firstLineChars="362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- Профессиональный стандарт «Маляр строительный», утвержденный  Минтруда и социальной защиты России приказом от 25.12.2014г. № 1138н, зарегистрирован в Минюсте России 02.02.2015г. № 35815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;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9" w:leftChars="0" w:right="0" w:rightChars="0" w:firstLine="868" w:firstLineChars="362"/>
        <w:jc w:val="both"/>
        <w:textAlignment w:val="auto"/>
        <w:outlineLvl w:val="9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- Профессиональный стандарт «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Каменщик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»,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>утверждённый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 Минтруда и социальной защиты России приказом от 25.12.2014г. № 11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50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н, зарегистрирован в Минюсте России </w:t>
      </w:r>
      <w:r>
        <w:rPr>
          <w:rFonts w:hint="default" w:ascii="Times New Roman" w:hAnsi="Times New Roman" w:eastAsia="SimSun" w:cs="Times New Roman"/>
          <w:sz w:val="24"/>
          <w:szCs w:val="24"/>
        </w:rPr>
        <w:t>29.01.2015 N 35773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;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9" w:leftChars="0" w:right="0" w:rightChars="0" w:firstLine="868" w:firstLineChars="362"/>
        <w:jc w:val="both"/>
        <w:textAlignment w:val="auto"/>
        <w:outlineLvl w:val="9"/>
        <w:rPr>
          <w:rFonts w:hint="default" w:ascii="Times New Roman" w:hAnsi="Times New Roman" w:cs="Times New Roman"/>
          <w:i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- Профессиональный стандарт «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Штукатур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»,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>утверждённый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 Минтруда и социальной защиты России приказом от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10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03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.201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5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г. № 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48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н, зарегистрирован в Минюсте России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27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.0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3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.2015г. № </w:t>
      </w:r>
      <w:r>
        <w:rPr>
          <w:rFonts w:hint="default" w:ascii="Times New Roman" w:hAnsi="Times New Roman" w:eastAsia="SimSun" w:cs="Times New Roman"/>
          <w:i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36577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;</w:t>
      </w:r>
      <w:r>
        <w:rPr>
          <w:rFonts w:hint="default" w:ascii="Arial" w:hAnsi="Arial" w:eastAsia="SimSun" w:cs="Arial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eastAsia="SimSun" w:cs="Arial"/>
          <w:i w:val="0"/>
          <w:caps w:val="0"/>
          <w:color w:val="000000"/>
          <w:spacing w:val="0"/>
          <w:sz w:val="21"/>
          <w:szCs w:val="21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- Профессионального стандарта «Плиточник»,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>утверждённого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Минтруда и социальной защиты России приказом от </w:t>
      </w:r>
      <w:r>
        <w:rPr>
          <w:rFonts w:hint="default" w:ascii="Times New Roman" w:hAnsi="Times New Roman" w:cs="Times New Roman"/>
          <w:iCs/>
          <w:sz w:val="24"/>
          <w:szCs w:val="24"/>
          <w:highlight w:val="none"/>
        </w:rPr>
        <w:t xml:space="preserve"> 10 января 2017 года N 12н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, зарегистрировано </w:t>
      </w:r>
      <w:r>
        <w:rPr>
          <w:rFonts w:hint="default" w:ascii="Times New Roman" w:hAnsi="Times New Roman" w:cs="Times New Roman"/>
          <w:iCs/>
          <w:sz w:val="24"/>
          <w:szCs w:val="24"/>
          <w:highlight w:val="none"/>
        </w:rPr>
        <w:t>в Министерстве юстиции Российской Федерации 25 января 2017 года, регистрационный N 45388</w:t>
      </w:r>
      <w:r>
        <w:rPr>
          <w:rFonts w:hint="default" w:ascii="Times New Roman" w:hAnsi="Times New Roman" w:cs="Times New Roman"/>
          <w:iCs/>
          <w:sz w:val="24"/>
          <w:szCs w:val="24"/>
          <w:highlight w:val="none"/>
          <w:lang w:val="ru-RU"/>
        </w:rPr>
        <w:t>;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9" w:leftChars="0" w:right="0" w:rightChars="0" w:firstLine="868" w:firstLineChars="362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- Устава ГБПОУ СО «Тольяттинский политехнический колледж»,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>отвержденный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приказом Министерства образования и науки Самарской области от 20. 04. 2015г. № 128-ОД;</w:t>
      </w:r>
    </w:p>
    <w:p>
      <w:pPr>
        <w:keepNext w:val="0"/>
        <w:keepLines w:val="0"/>
        <w:pageBreakBefore w:val="0"/>
        <w:numPr>
          <w:ilvl w:val="0"/>
          <w:numId w:val="2"/>
        </w:numPr>
        <w:tabs>
          <w:tab w:val="left" w:pos="0"/>
        </w:tabs>
        <w:kinsoku/>
        <w:wordWrap/>
        <w:overflowPunct/>
        <w:topLinePunct w:val="0"/>
        <w:bidi w:val="0"/>
        <w:snapToGrid/>
        <w:spacing w:after="0" w:line="360" w:lineRule="auto"/>
        <w:ind w:left="9" w:leftChars="0" w:right="0" w:rightChars="0" w:firstLine="868" w:firstLineChars="362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Положения об организации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и проведении текущего контроля и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промежуточной аттестации студентов колледжа;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mallCaps/>
          <w:sz w:val="24"/>
          <w:szCs w:val="24"/>
        </w:rPr>
        <w:t xml:space="preserve">1.2  </w:t>
      </w:r>
      <w:r>
        <w:rPr>
          <w:rFonts w:hint="default" w:ascii="Times New Roman" w:hAnsi="Times New Roman" w:cs="Times New Roman"/>
          <w:b/>
          <w:sz w:val="24"/>
          <w:szCs w:val="24"/>
        </w:rPr>
        <w:t>Нормативный срок освоения программы</w:t>
      </w:r>
    </w:p>
    <w:p>
      <w:pPr>
        <w:pStyle w:val="4"/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 xml:space="preserve">Нормативные сроки освоения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программы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подготовки специалистов среднего звена</w:t>
      </w:r>
      <w:r>
        <w:rPr>
          <w:rFonts w:hint="default" w:ascii="Times New Roman" w:hAnsi="Times New Roman" w:cs="Times New Roman"/>
          <w:caps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pacing w:val="-2"/>
          <w:sz w:val="24"/>
          <w:szCs w:val="24"/>
          <w:highlight w:val="none"/>
        </w:rPr>
        <w:t xml:space="preserve"> по специальности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08.02.01 Строительство и эксплуатация зданий и сооружений</w:t>
      </w:r>
      <w:r>
        <w:rPr>
          <w:rFonts w:hint="default" w:ascii="Times New Roman" w:hAnsi="Times New Roman" w:cs="Times New Roman"/>
          <w:spacing w:val="-2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при очной получения образования:</w:t>
      </w:r>
    </w:p>
    <w:p>
      <w:pPr>
        <w:pStyle w:val="4"/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– на базе основного общего образования – 3 года 10 месяцев.</w:t>
      </w:r>
    </w:p>
    <w:p>
      <w:pPr>
        <w:pStyle w:val="4"/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 xml:space="preserve">Срок освоения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программы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подготовки специалистов среднего звена</w:t>
      </w:r>
      <w:r>
        <w:rPr>
          <w:rFonts w:hint="default" w:ascii="Times New Roman" w:hAnsi="Times New Roman" w:cs="Times New Roman"/>
          <w:caps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по заочной форме получения образования увеличивается:</w:t>
      </w:r>
    </w:p>
    <w:p>
      <w:pPr>
        <w:pStyle w:val="4"/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– на базе среднего общего образования – не более чем на 1 год;</w:t>
      </w:r>
    </w:p>
    <w:p>
      <w:pPr>
        <w:pStyle w:val="4"/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</w:rPr>
        <w:t>- на базе основного общего образования – не более чем на 1,5 года.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right="0" w:rightChars="0" w:firstLine="709"/>
        <w:jc w:val="left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/>
          <w:smallCaps/>
          <w:sz w:val="24"/>
          <w:szCs w:val="24"/>
          <w:highlight w:val="none"/>
        </w:rPr>
        <w:t xml:space="preserve">1.3 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</w:rPr>
        <w:t>Квалификационная характеристика выпускника</w:t>
      </w:r>
    </w:p>
    <w:p>
      <w:pPr>
        <w:suppressAutoHyphens/>
        <w:spacing w:after="0" w:line="360" w:lineRule="auto"/>
        <w:ind w:firstLine="709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Квалификации, присваивае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мая </w:t>
      </w:r>
      <w:r>
        <w:rPr>
          <w:rFonts w:hint="default" w:ascii="Times New Roman" w:hAnsi="Times New Roman" w:cs="Times New Roman"/>
          <w:sz w:val="24"/>
          <w:szCs w:val="24"/>
        </w:rPr>
        <w:t xml:space="preserve"> выпускникам образовательной программы: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техник.</w:t>
      </w:r>
    </w:p>
    <w:p>
      <w:pPr>
        <w:widowControl w:val="0"/>
        <w:suppressAutoHyphens/>
        <w:spacing w:line="360" w:lineRule="auto"/>
        <w:ind w:left="240" w:leftChars="109" w:firstLine="420" w:firstLineChars="175"/>
        <w:jc w:val="lef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mallCaps/>
          <w:sz w:val="24"/>
          <w:szCs w:val="24"/>
        </w:rPr>
        <w:t xml:space="preserve">1.4 </w:t>
      </w:r>
      <w:r>
        <w:rPr>
          <w:rFonts w:hint="default" w:ascii="Times New Roman" w:hAnsi="Times New Roman" w:cs="Times New Roman"/>
          <w:b/>
          <w:sz w:val="24"/>
          <w:szCs w:val="24"/>
        </w:rPr>
        <w:t>Термины, определения и используемые сокращения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</w:rPr>
        <w:t>В программе используются следующие термины и их определения: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sz w:val="24"/>
          <w:szCs w:val="24"/>
        </w:rPr>
        <w:t>Компетенция</w:t>
      </w:r>
      <w:r>
        <w:rPr>
          <w:rFonts w:hint="default" w:ascii="Times New Roman" w:hAnsi="Times New Roman" w:cs="Times New Roman"/>
          <w:sz w:val="24"/>
          <w:szCs w:val="24"/>
        </w:rPr>
        <w:t xml:space="preserve"> – способность применять знания, умения, личностные качества и практический опыт для успешной деятельности в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определённой</w:t>
      </w:r>
      <w:r>
        <w:rPr>
          <w:rFonts w:hint="default" w:ascii="Times New Roman" w:hAnsi="Times New Roman" w:cs="Times New Roman"/>
          <w:sz w:val="24"/>
          <w:szCs w:val="24"/>
        </w:rPr>
        <w:t xml:space="preserve"> области.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Профессиональный модуль </w:t>
      </w:r>
      <w:r>
        <w:rPr>
          <w:rFonts w:hint="default" w:ascii="Times New Roman" w:hAnsi="Times New Roman" w:cs="Times New Roman"/>
          <w:sz w:val="24"/>
          <w:szCs w:val="24"/>
        </w:rPr>
        <w:t xml:space="preserve">– часть основной профессиональной образовательной программы, имеющая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определённую</w:t>
      </w:r>
      <w:r>
        <w:rPr>
          <w:rFonts w:hint="default" w:ascii="Times New Roman" w:hAnsi="Times New Roman" w:cs="Times New Roman"/>
          <w:sz w:val="24"/>
          <w:szCs w:val="24"/>
        </w:rPr>
        <w:t xml:space="preserve"> логическую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завершённость</w:t>
      </w:r>
      <w:r>
        <w:rPr>
          <w:rFonts w:hint="default" w:ascii="Times New Roman" w:hAnsi="Times New Roman" w:cs="Times New Roman"/>
          <w:sz w:val="24"/>
          <w:szCs w:val="24"/>
        </w:rPr>
        <w:t xml:space="preserve">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sz w:val="24"/>
          <w:szCs w:val="24"/>
        </w:rPr>
        <w:t>Основные виды  деятел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ьности </w:t>
      </w:r>
      <w:r>
        <w:rPr>
          <w:rFonts w:hint="default" w:ascii="Times New Roman" w:hAnsi="Times New Roman" w:cs="Times New Roman"/>
          <w:sz w:val="24"/>
          <w:szCs w:val="24"/>
        </w:rPr>
        <w:t>– 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Результаты подготовки </w:t>
      </w:r>
      <w:r>
        <w:rPr>
          <w:rFonts w:hint="default" w:ascii="Times New Roman" w:hAnsi="Times New Roman" w:cs="Times New Roman"/>
          <w:sz w:val="24"/>
          <w:szCs w:val="24"/>
        </w:rPr>
        <w:t>– освоенные компетенции и умения, усвоенные знания, обеспечивающие соответствующую квалификацию и уровень образования.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Учебный (профессиональный) цикл </w:t>
      </w:r>
      <w:r>
        <w:rPr>
          <w:rFonts w:hint="default" w:ascii="Times New Roman" w:hAnsi="Times New Roman" w:cs="Times New Roman"/>
          <w:sz w:val="24"/>
          <w:szCs w:val="24"/>
        </w:rPr>
        <w:t>– совокупность дисциплин (модулей), обеспечивающих усвоение знаний, умений и формирование компетенций в соответствующей сфере профессиональной деятельности.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Диплом о среднем профессиональном образовании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- документ об образовании и о квалификации, выдаваемый по итогам освоения образовательной программы среднего профессионального образования при успешном прохождении обучающимся государственной итоговой аттестации.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Паспорт компетенций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(Скиллс паспорт) - электронный документ, формируемый по итогам демонстрационного экзамена, отражающий уровень выполнения задания по определённой компетенции. </w:t>
      </w:r>
    </w:p>
    <w:p>
      <w:pPr>
        <w:widowControl w:val="0"/>
        <w:suppressAutoHyphens/>
        <w:spacing w:line="360" w:lineRule="auto"/>
        <w:ind w:left="876" w:leftChars="398" w:firstLine="4" w:firstLineChars="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ПМ </w:t>
      </w:r>
      <w:r>
        <w:rPr>
          <w:rFonts w:hint="default" w:ascii="Times New Roman" w:hAnsi="Times New Roman" w:cs="Times New Roman"/>
          <w:sz w:val="24"/>
          <w:szCs w:val="24"/>
        </w:rPr>
        <w:t>– профессиональный модуль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МДК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- междисциплинарный курс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b/>
          <w:sz w:val="24"/>
          <w:szCs w:val="24"/>
        </w:rPr>
        <w:t>ОК</w:t>
      </w:r>
      <w:r>
        <w:rPr>
          <w:rFonts w:hint="default" w:ascii="Times New Roman" w:hAnsi="Times New Roman" w:cs="Times New Roman"/>
          <w:sz w:val="24"/>
          <w:szCs w:val="24"/>
        </w:rPr>
        <w:t xml:space="preserve"> – общая компетенция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b/>
          <w:sz w:val="24"/>
          <w:szCs w:val="24"/>
        </w:rPr>
        <w:t>ПК</w:t>
      </w:r>
      <w:r>
        <w:rPr>
          <w:rFonts w:hint="default" w:ascii="Times New Roman" w:hAnsi="Times New Roman" w:cs="Times New Roman"/>
          <w:sz w:val="24"/>
          <w:szCs w:val="24"/>
        </w:rPr>
        <w:t xml:space="preserve"> – профессиональная компетенция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</w:t>
      </w:r>
      <w:r>
        <w:rPr>
          <w:rFonts w:hint="default" w:ascii="Times New Roman" w:hAnsi="Times New Roman" w:cs="Times New Roman"/>
          <w:b/>
          <w:sz w:val="24"/>
          <w:szCs w:val="24"/>
        </w:rPr>
        <w:t>УП</w:t>
      </w:r>
      <w:r>
        <w:rPr>
          <w:rFonts w:hint="default" w:ascii="Times New Roman" w:hAnsi="Times New Roman" w:cs="Times New Roman"/>
          <w:sz w:val="24"/>
          <w:szCs w:val="24"/>
        </w:rPr>
        <w:t xml:space="preserve"> – учебная практика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b/>
          <w:sz w:val="24"/>
          <w:szCs w:val="24"/>
        </w:rPr>
        <w:t>ПП</w:t>
      </w:r>
      <w:r>
        <w:rPr>
          <w:rFonts w:hint="default" w:ascii="Times New Roman" w:hAnsi="Times New Roman" w:cs="Times New Roman"/>
          <w:sz w:val="24"/>
          <w:szCs w:val="24"/>
        </w:rPr>
        <w:t xml:space="preserve"> – производственная практика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</w:t>
      </w:r>
      <w:r>
        <w:rPr>
          <w:rFonts w:hint="default" w:ascii="Times New Roman" w:hAnsi="Times New Roman" w:cs="Times New Roman"/>
          <w:b/>
          <w:bCs/>
          <w:sz w:val="24"/>
        </w:rPr>
        <w:t>Цикл ОГСЭ</w:t>
      </w:r>
      <w:r>
        <w:rPr>
          <w:rFonts w:hint="default" w:ascii="Times New Roman" w:hAnsi="Times New Roman" w:cs="Times New Roman"/>
          <w:b/>
          <w:bCs/>
          <w:sz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</w:rPr>
        <w:t>-</w:t>
      </w:r>
      <w:r>
        <w:rPr>
          <w:rFonts w:hint="default" w:ascii="Times New Roman" w:hAnsi="Times New Roman" w:cs="Times New Roman"/>
          <w:sz w:val="24"/>
          <w:lang w:val="ru-RU"/>
        </w:rPr>
        <w:t xml:space="preserve"> о</w:t>
      </w:r>
      <w:r>
        <w:rPr>
          <w:rFonts w:hint="default" w:ascii="Times New Roman" w:hAnsi="Times New Roman" w:cs="Times New Roman"/>
          <w:sz w:val="24"/>
        </w:rPr>
        <w:t>бщий гуманитарный и социально-экономический цикл</w:t>
      </w:r>
      <w:r>
        <w:rPr>
          <w:rFonts w:hint="default" w:ascii="Times New Roman" w:hAnsi="Times New Roman" w:cs="Times New Roman"/>
          <w:sz w:val="24"/>
          <w:lang w:val="ru-RU"/>
        </w:rPr>
        <w:t xml:space="preserve">                            </w:t>
      </w:r>
      <w:r>
        <w:rPr>
          <w:rFonts w:hint="default" w:ascii="Times New Roman" w:hAnsi="Times New Roman" w:cs="Times New Roman"/>
          <w:b/>
          <w:bCs/>
          <w:sz w:val="24"/>
        </w:rPr>
        <w:t>Цикл ЕН</w:t>
      </w:r>
      <w:r>
        <w:rPr>
          <w:rFonts w:hint="default" w:ascii="Times New Roman" w:hAnsi="Times New Roman" w:cs="Times New Roman"/>
          <w:b/>
          <w:bCs/>
          <w:sz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</w:rPr>
        <w:t xml:space="preserve">- </w:t>
      </w:r>
      <w:r>
        <w:rPr>
          <w:rFonts w:hint="default" w:ascii="Times New Roman" w:hAnsi="Times New Roman" w:cs="Times New Roman"/>
          <w:sz w:val="24"/>
          <w:lang w:val="ru-RU"/>
        </w:rPr>
        <w:t xml:space="preserve"> м</w:t>
      </w:r>
      <w:r>
        <w:rPr>
          <w:rFonts w:hint="default" w:ascii="Times New Roman" w:hAnsi="Times New Roman" w:cs="Times New Roman"/>
          <w:sz w:val="24"/>
        </w:rPr>
        <w:t>атематический и общий естественнонаучный цикл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2 Характеристика профессиональной деятельности выпускников и требования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к результатам освоения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ru-RU"/>
        </w:rPr>
        <w:t>основной образовательной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программы подготовки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/>
        <w:jc w:val="center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специалистов среднего звена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20"/>
        <w:jc w:val="both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2.1 Область профессиональной деятельности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lang w:val="ru-RU"/>
        </w:rPr>
        <w:t>Область профессиональной деятельности, в которой выпускники, освоившие образовательную программу, могут осуществлять профессиональную деятельность: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2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16  Строительство и жилищно-коммунальное хозяйство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20"/>
        <w:jc w:val="both"/>
        <w:textAlignment w:val="auto"/>
        <w:rPr>
          <w:rFonts w:hint="default" w:ascii="Times New Roman" w:hAnsi="Times New Roman" w:cs="Times New Roman"/>
          <w:b/>
          <w:smallCap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20"/>
        <w:jc w:val="both"/>
        <w:textAlignment w:val="auto"/>
        <w:rPr>
          <w:rFonts w:hint="default" w:ascii="Times New Roman" w:hAnsi="Times New Roman" w:cs="Times New Roman"/>
          <w:b/>
          <w:smallCaps/>
          <w:sz w:val="24"/>
          <w:szCs w:val="24"/>
        </w:rPr>
      </w:pPr>
      <w:r>
        <w:rPr>
          <w:rFonts w:hint="default" w:ascii="Times New Roman" w:hAnsi="Times New Roman" w:cs="Times New Roman"/>
          <w:b/>
          <w:smallCaps/>
          <w:sz w:val="24"/>
          <w:szCs w:val="24"/>
        </w:rPr>
        <w:t>2.2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Виды деятельности и компетенции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2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Виды деятельности и профессиональные компетенции выпускника</w:t>
      </w:r>
    </w:p>
    <w:tbl>
      <w:tblPr>
        <w:tblStyle w:val="14"/>
        <w:tblW w:w="1026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1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" w:hRule="atLeast"/>
        </w:trPr>
        <w:tc>
          <w:tcPr>
            <w:tcW w:w="11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91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ВД 1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Участие в проектировании зданий и сооружений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ПК 1.1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 xml:space="preserve">Подбирать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 xml:space="preserve">наиболее оптимальные решения из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строительны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х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 xml:space="preserve"> конструкции и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 xml:space="preserve">материалов,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разрабатывать  узлы и детали конструктивных элементов зданий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 xml:space="preserve"> и сооружений в соответствии с условиями эксплуатации и назначениями;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ПК 1.2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Выполнять расчеты и конструирование строительных конструкций;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ПК 1.3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Разрабатывать архитектурно-строительные чертежи с использованием средств автоматизированного проектирования;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 xml:space="preserve">ПК 1.4 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 xml:space="preserve"> 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Участвовать в разработке проекта производства работ с применением информационных технологи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ВД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Выполнение технологических процессов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объект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е капитального строительства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ыполнять подготовительные работы на строительной площадке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ыполнять строительно-монтажные,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в том числе отделочные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работы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на 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бъект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е капитального строительства;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Проводить оперативный учет объемов выполняемых работ и расхода материальных ресурсов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Осуществлять мероприятия по контролю качества выполняемых работ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и расходуемых материалов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ВД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Организация деятельности структурных подразделений при выполнении строительно-монтажных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, в том числе отделочных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работ, эксплуатации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, ремонте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и реконструкции зданий и сооружений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Осуществлять оперативное планирование деятельности структурных подразделений при проведении строительно-монтажных работ,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в том числе отделочных работ,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текущего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ремонта и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реконструкции строительных объектов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Обеспечить работу структурных подразделений при выполнении производственных задач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ПК 3.3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Обеспечивать ведение текущей и исполнительной документации по выполняемым видам строительных работ;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ПК 3.4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ПК 3.5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Контролировать и оценивать деятельность структурных подразделений;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Обеспечивать соблюдение требований охраны труда, безопасности жизнедеятельности и защиту окружающей среды при выполнении строительно-монтажных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, в том числе отделочных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, ремонтных работ и работ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по реконструкции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и эксплуатации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строительных объектов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ВД 4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Организация видов работ при эксплуатации и реконструкции строительных объектов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Организовывать работу по технической эксплуатации зданий и сооружений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ПК 4.2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Выполнять мероприятия по технической эксплуатации конструкций и инженерного оборудования зданий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Принимать участие в диагностике технического состояния конструктивных элементов эксплуатируемых зданий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, в том числе отделки внутренних и наружных поверхностей конструктивных элементов эксплуатируемых зданий;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Осуществлять мероприятия по оценке технического состояния и реконструкции зданий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</w:rPr>
              <w:t xml:space="preserve">ВД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  <w:lang w:val="ru-RU"/>
              </w:rPr>
              <w:t>7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</w:rPr>
              <w:t xml:space="preserve">Выполнение работ по профессии  рабочего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13450 «Маляр"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 xml:space="preserve">ПК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7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.1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 xml:space="preserve">Выполнять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подготовку поверхностей под окрашивание и оклеивание обоями.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 xml:space="preserve">ПК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7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.2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ПК 7.3</w:t>
            </w:r>
          </w:p>
        </w:tc>
        <w:tc>
          <w:tcPr>
            <w:tcW w:w="91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Выполнять подготовку стен и материалов к оклеиванию обоями.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 xml:space="preserve">Выполнять окрашивание и оклеивание поверхностей с элементами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WSR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851"/>
        <w:jc w:val="both"/>
        <w:textAlignment w:val="auto"/>
        <w:rPr>
          <w:rFonts w:hint="default" w:ascii="Times New Roman" w:hAnsi="Times New Roman" w:cs="Times New Roman"/>
          <w:b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/>
          <w:sz w:val="24"/>
          <w:szCs w:val="24"/>
          <w:highlight w:val="none"/>
        </w:rPr>
        <w:t>Общие компетенции выпускника</w:t>
      </w:r>
    </w:p>
    <w:tbl>
      <w:tblPr>
        <w:tblStyle w:val="14"/>
        <w:tblW w:w="101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599"/>
        <w:gridCol w:w="15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66" w:type="dxa"/>
        </w:trPr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</w:rPr>
              <w:t>Код</w:t>
            </w:r>
          </w:p>
        </w:tc>
        <w:tc>
          <w:tcPr>
            <w:tcW w:w="75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36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highlight w:val="none"/>
              </w:rPr>
              <w:t>Наименование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0"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1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widowControl w:val="0"/>
              <w:suppressAutoHyphens/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2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pStyle w:val="6"/>
              <w:widowControl w:val="0"/>
              <w:spacing w:line="240" w:lineRule="auto"/>
              <w:ind w:left="3" w:leftChars="0" w:hanging="3" w:firstLineChars="0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3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pStyle w:val="6"/>
              <w:widowControl w:val="0"/>
              <w:spacing w:line="240" w:lineRule="auto"/>
              <w:ind w:left="283" w:leftChars="0" w:hanging="283" w:firstLineChars="0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Планировать и реализовывать собственное профессиональное и личностное развитие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0" w:leftChars="0" w:right="0" w:rightChars="0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4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pStyle w:val="6"/>
              <w:widowControl w:val="0"/>
              <w:spacing w:line="240" w:lineRule="auto"/>
              <w:ind w:left="3" w:leftChars="0" w:hanging="3" w:firstLineChars="0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5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" w:leftChars="0" w:right="0" w:rightChars="0" w:hanging="3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6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7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" w:leftChars="0" w:right="0" w:rightChars="0" w:hanging="3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" w:leftChars="0" w:right="0" w:rightChars="0" w:hanging="3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8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 w:val="0"/>
              <w:tabs>
                <w:tab w:val="left" w:pos="281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" w:leftChars="0" w:right="0" w:rightChars="0" w:hanging="3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ОК 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ОК 10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ru-RU"/>
              </w:rPr>
              <w:t>ОК 11</w:t>
            </w:r>
          </w:p>
        </w:tc>
        <w:tc>
          <w:tcPr>
            <w:tcW w:w="9165" w:type="dxa"/>
            <w:gridSpan w:val="2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283" w:leftChars="0" w:right="0" w:rightChars="0" w:hanging="283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Использовать информационные технологии в профессиональной деятельности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283" w:leftChars="0" w:right="0" w:rightChars="0" w:hanging="283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" w:leftChars="0" w:right="0" w:rightChars="0" w:hanging="3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Пользоваться профессиональной документацией на государственном и иностранном языках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" w:leftChars="0" w:right="0" w:rightChars="0" w:hanging="3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highlight w:val="none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>
      <w:pPr>
        <w:spacing w:line="360" w:lineRule="auto"/>
        <w:ind w:left="17" w:leftChars="0" w:firstLine="700" w:firstLineChars="0"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spacing w:line="360" w:lineRule="auto"/>
        <w:ind w:left="17" w:leftChars="0" w:firstLine="700" w:firstLineChars="0"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spacing w:line="360" w:lineRule="auto"/>
        <w:ind w:left="17" w:leftChars="0" w:firstLine="700" w:firstLineChars="0"/>
        <w:jc w:val="left"/>
        <w:rPr>
          <w:rFonts w:hint="default" w:ascii="Times New Roman" w:hAnsi="Times New Roman" w:cs="Times New Roman"/>
          <w:b/>
          <w:sz w:val="24"/>
          <w:szCs w:val="24"/>
        </w:rPr>
      </w:pPr>
      <w:bookmarkStart w:id="2" w:name="_GoBack"/>
      <w:bookmarkEnd w:id="2"/>
      <w:r>
        <w:rPr>
          <w:rFonts w:hint="default" w:ascii="Times New Roman" w:hAnsi="Times New Roman" w:cs="Times New Roman"/>
          <w:b/>
          <w:sz w:val="24"/>
          <w:szCs w:val="24"/>
        </w:rPr>
        <w:t>2.3 Специальные требования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right="0" w:rightChars="0" w:firstLine="70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/>
          <w:bCs w:val="0"/>
          <w:sz w:val="24"/>
          <w:szCs w:val="24"/>
        </w:rPr>
        <w:t xml:space="preserve">2.3.1  </w:t>
      </w:r>
      <w:r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</w:rPr>
        <w:t xml:space="preserve">Формирование вариативной части </w:t>
      </w:r>
      <w:r>
        <w:rPr>
          <w:rFonts w:hint="default" w:ascii="Times New Roman" w:hAnsi="Times New Roman" w:cs="Times New Roman"/>
          <w:b/>
          <w:bCs w:val="0"/>
          <w:sz w:val="24"/>
          <w:szCs w:val="24"/>
          <w:highlight w:val="none"/>
          <w:lang w:val="ru-RU"/>
        </w:rPr>
        <w:t>основной образовательной программы подготовки специалистов среднего звена</w:t>
      </w:r>
    </w:p>
    <w:p>
      <w:pPr>
        <w:spacing w:line="360" w:lineRule="auto"/>
        <w:ind w:firstLine="567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Вариативная часть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образовательной программы </w:t>
      </w:r>
      <w:r>
        <w:rPr>
          <w:rFonts w:hint="default" w:ascii="Times New Roman" w:hAnsi="Times New Roman" w:cs="Times New Roman"/>
          <w:sz w:val="24"/>
          <w:szCs w:val="24"/>
        </w:rPr>
        <w:t xml:space="preserve">даёт возможность расширения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основного (ых) вида (ов) деятельности, к которым должен быть готов выпускник, освоивший образовательную программу, </w:t>
      </w:r>
      <w:r>
        <w:rPr>
          <w:rFonts w:hint="default" w:ascii="Times New Roman" w:hAnsi="Times New Roman" w:cs="Times New Roman"/>
          <w:sz w:val="24"/>
          <w:szCs w:val="24"/>
        </w:rPr>
        <w:t>углубления подготовки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обучающегося</w:t>
      </w:r>
      <w:r>
        <w:rPr>
          <w:rFonts w:hint="default" w:ascii="Times New Roman" w:hAnsi="Times New Roman" w:cs="Times New Roman"/>
          <w:sz w:val="24"/>
          <w:szCs w:val="24"/>
        </w:rPr>
        <w:t>, 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spacing w:line="360" w:lineRule="auto"/>
        <w:ind w:firstLine="567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Вариативная часть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основной образовательной программы подготовки специалистов среднего звена  </w:t>
      </w:r>
      <w:r>
        <w:rPr>
          <w:rFonts w:hint="default" w:ascii="Times New Roman" w:hAnsi="Times New Roman" w:cs="Times New Roman"/>
          <w:sz w:val="24"/>
          <w:szCs w:val="24"/>
        </w:rPr>
        <w:t xml:space="preserve">согласно ФГОС  составила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1296 </w:t>
      </w:r>
      <w:r>
        <w:rPr>
          <w:rFonts w:hint="default" w:ascii="Times New Roman" w:hAnsi="Times New Roman" w:cs="Times New Roman"/>
          <w:sz w:val="24"/>
          <w:szCs w:val="24"/>
        </w:rPr>
        <w:t>часов.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>
      <w:pPr>
        <w:spacing w:line="360" w:lineRule="auto"/>
        <w:ind w:left="8" w:leftChars="0" w:firstLine="600" w:firstLineChars="25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Распределение вариативной части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образовательной программы подготовки специалистов среднего звена </w:t>
      </w:r>
      <w:r>
        <w:rPr>
          <w:rFonts w:hint="default" w:ascii="Times New Roman" w:hAnsi="Times New Roman" w:cs="Times New Roman"/>
          <w:sz w:val="24"/>
          <w:szCs w:val="24"/>
        </w:rPr>
        <w:t xml:space="preserve">по циклам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учебного плана </w:t>
      </w:r>
      <w:r>
        <w:rPr>
          <w:rFonts w:hint="default" w:ascii="Times New Roman" w:hAnsi="Times New Roman" w:cs="Times New Roman"/>
          <w:sz w:val="24"/>
          <w:szCs w:val="24"/>
        </w:rPr>
        <w:t>представлено в таблице:</w:t>
      </w:r>
    </w:p>
    <w:tbl>
      <w:tblPr>
        <w:tblStyle w:val="14"/>
        <w:tblpPr w:leftFromText="180" w:rightFromText="180" w:vertAnchor="text" w:horzAnchor="page" w:tblpX="1088" w:tblpY="325"/>
        <w:tblW w:w="10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026"/>
        <w:gridCol w:w="1368"/>
        <w:gridCol w:w="2679"/>
        <w:gridCol w:w="3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694" w:type="dxa"/>
            <w:gridSpan w:val="2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>Индексы циклов и обязательная учебная нагрузка по циклам по ФГОС, часов</w:t>
            </w:r>
          </w:p>
        </w:tc>
        <w:tc>
          <w:tcPr>
            <w:tcW w:w="7606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>Распределение вариативной части по циклам, часов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269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68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>Всего</w:t>
            </w:r>
          </w:p>
        </w:tc>
        <w:tc>
          <w:tcPr>
            <w:tcW w:w="6238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  <w:t xml:space="preserve">в 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>том числе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694" w:type="dxa"/>
            <w:gridSpan w:val="2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6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>На увеличение объема обязательных дисциплин (МДК)</w:t>
            </w:r>
          </w:p>
        </w:tc>
        <w:tc>
          <w:tcPr>
            <w:tcW w:w="355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>На введение дополнительных дисциплин (ПМ)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6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ОГСЭ.00</w:t>
            </w:r>
          </w:p>
        </w:tc>
        <w:tc>
          <w:tcPr>
            <w:tcW w:w="10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3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67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5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6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ЕН.00</w:t>
            </w:r>
          </w:p>
        </w:tc>
        <w:tc>
          <w:tcPr>
            <w:tcW w:w="10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67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55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ОП.00</w:t>
            </w:r>
          </w:p>
        </w:tc>
        <w:tc>
          <w:tcPr>
            <w:tcW w:w="10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3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236</w:t>
            </w:r>
          </w:p>
        </w:tc>
        <w:tc>
          <w:tcPr>
            <w:tcW w:w="267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355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6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ПМ.00</w:t>
            </w:r>
          </w:p>
        </w:tc>
        <w:tc>
          <w:tcPr>
            <w:tcW w:w="102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1728</w:t>
            </w:r>
          </w:p>
        </w:tc>
        <w:tc>
          <w:tcPr>
            <w:tcW w:w="13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918</w:t>
            </w:r>
          </w:p>
        </w:tc>
        <w:tc>
          <w:tcPr>
            <w:tcW w:w="267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918</w:t>
            </w:r>
          </w:p>
        </w:tc>
        <w:tc>
          <w:tcPr>
            <w:tcW w:w="355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694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13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267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1028</w:t>
            </w:r>
          </w:p>
        </w:tc>
        <w:tc>
          <w:tcPr>
            <w:tcW w:w="3559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124</w:t>
            </w:r>
          </w:p>
        </w:tc>
      </w:tr>
    </w:tbl>
    <w:p>
      <w:pPr>
        <w:spacing w:line="360" w:lineRule="auto"/>
        <w:ind w:firstLine="567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line="360" w:lineRule="auto"/>
        <w:ind w:firstLine="567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Распределение часов на вариативную часть обосновано изучением требований работодателей, профессиональных стандартов, требований конкурса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WSR.</w:t>
      </w:r>
    </w:p>
    <w:p>
      <w:pPr>
        <w:pStyle w:val="17"/>
        <w:spacing w:line="360" w:lineRule="auto"/>
        <w:ind w:firstLine="567"/>
        <w:jc w:val="both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Все эти часы распределены следующим образом:</w:t>
      </w:r>
    </w:p>
    <w:p>
      <w:pPr>
        <w:pStyle w:val="17"/>
        <w:spacing w:line="360" w:lineRule="auto"/>
        <w:ind w:firstLine="567"/>
        <w:jc w:val="both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- на увеличение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объёма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времени,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отведённого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на дисциплины и модули обязательной части в соответствии с требованиями профессиональных стандартов и запросов регионального рынка труда;</w:t>
      </w:r>
    </w:p>
    <w:p>
      <w:pPr>
        <w:spacing w:line="360" w:lineRule="auto"/>
        <w:ind w:firstLine="567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- на введение новых дисциплин в соответствии с требованиями профессиональных стандартов, потребностями работодателей и регионального рынка труда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;</w:t>
      </w:r>
    </w:p>
    <w:p>
      <w:pPr>
        <w:spacing w:line="360" w:lineRule="auto"/>
        <w:ind w:firstLine="567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на выполнение практических заданий в соответствии с требованиями конкурса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WSR.</w:t>
      </w:r>
    </w:p>
    <w:p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Распределение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объёма</w:t>
      </w:r>
      <w:r>
        <w:rPr>
          <w:rFonts w:hint="default" w:ascii="Times New Roman" w:hAnsi="Times New Roman" w:cs="Times New Roman"/>
          <w:sz w:val="24"/>
          <w:szCs w:val="24"/>
        </w:rPr>
        <w:t xml:space="preserve"> вариативной части циклов по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введённым</w:t>
      </w:r>
      <w:r>
        <w:rPr>
          <w:rFonts w:hint="default" w:ascii="Times New Roman" w:hAnsi="Times New Roman" w:cs="Times New Roman"/>
          <w:sz w:val="24"/>
          <w:szCs w:val="24"/>
        </w:rPr>
        <w:t xml:space="preserve"> дисциплинам вариативной </w:t>
      </w:r>
    </w:p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части и обоснование необходимости их введения, а также обоснование увеличения обязательной </w:t>
      </w:r>
    </w:p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части ПМ (МДК)</w:t>
      </w:r>
    </w:p>
    <w:tbl>
      <w:tblPr>
        <w:tblStyle w:val="14"/>
        <w:tblW w:w="10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7"/>
        <w:gridCol w:w="2760"/>
        <w:gridCol w:w="1155"/>
        <w:gridCol w:w="54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Индексы циклов</w:t>
            </w:r>
          </w:p>
        </w:tc>
        <w:tc>
          <w:tcPr>
            <w:tcW w:w="27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Наименование дисциплин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(МДК, ПМ)</w:t>
            </w:r>
          </w:p>
        </w:tc>
        <w:tc>
          <w:tcPr>
            <w:tcW w:w="11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Количество часов вариативной части</w:t>
            </w:r>
          </w:p>
        </w:tc>
        <w:tc>
          <w:tcPr>
            <w:tcW w:w="54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Основные результаты изучения дисциплин вариативной части и краткое обоснование необходимости их введения (увеличения объема обязательной части цикла)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ОГСЭ.00</w:t>
            </w:r>
          </w:p>
        </w:tc>
        <w:tc>
          <w:tcPr>
            <w:tcW w:w="2760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Обязательная часть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455" w:type="dxa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На освоение дополнительных умений и знаний по  дисциплинам: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- история;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психология;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иностранный язык в профессиональной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" w:hRule="atLeast"/>
        </w:trPr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ОГСЭ. 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Общие компетенции профессионала</w:t>
            </w:r>
          </w:p>
        </w:tc>
        <w:tc>
          <w:tcPr>
            <w:tcW w:w="11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455" w:type="dxa"/>
            <w:vMerge w:val="restart"/>
            <w:vAlign w:val="top"/>
          </w:tcPr>
          <w:p>
            <w:pPr>
              <w:pStyle w:val="18"/>
              <w:tabs>
                <w:tab w:val="left" w:pos="317"/>
              </w:tabs>
              <w:ind w:left="34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pStyle w:val="18"/>
              <w:tabs>
                <w:tab w:val="left" w:pos="317"/>
              </w:tabs>
              <w:spacing w:line="240" w:lineRule="auto"/>
              <w:ind w:left="34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введены  согласно методическим рекомендациям по формированию вариативной составляющей (части)  основных образовательных программ в соответствии с ФГОС СПО в Самарской области (письмо 15.06.2018 г. №16/1846)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для повышения конкурентных способностей выпускников на региональном рынке труда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ОГСЭ.07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Рынок  труда и профессиональная карьера</w:t>
            </w:r>
          </w:p>
        </w:tc>
        <w:tc>
          <w:tcPr>
            <w:tcW w:w="11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55" w:type="dxa"/>
            <w:vMerge w:val="continue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ЕН.00</w:t>
            </w:r>
          </w:p>
        </w:tc>
        <w:tc>
          <w:tcPr>
            <w:tcW w:w="2760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11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55" w:type="dxa"/>
            <w:vAlign w:val="top"/>
          </w:tcPr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На освоение дополнительных умений и знаний по дисциплинам: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 математика;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-экологические основы  природопользования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ОП. 00</w:t>
            </w:r>
          </w:p>
        </w:tc>
        <w:tc>
          <w:tcPr>
            <w:tcW w:w="2760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15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200</w:t>
            </w:r>
          </w:p>
        </w:tc>
        <w:tc>
          <w:tcPr>
            <w:tcW w:w="5455" w:type="dxa"/>
            <w:vAlign w:val="top"/>
          </w:tcPr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Обоснование: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На освоение дополнительных умений и знаний по дисциплинам: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инженерная графика;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техническая механика;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основы электротехники;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основы геодезии;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общие сведения об инженерных системах;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 экономика отрасли, отражающих региональную специфику специальности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08.02.01 Строительство и эксплуатация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зданий и сооружений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257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ОП. 10</w:t>
            </w:r>
          </w:p>
        </w:tc>
        <w:tc>
          <w:tcPr>
            <w:tcW w:w="2760" w:type="dxa"/>
            <w:tcBorders>
              <w:bottom w:val="single" w:color="auto" w:sz="4" w:space="0"/>
            </w:tcBorders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155" w:type="dxa"/>
            <w:tcBorders>
              <w:bottom w:val="single" w:color="auto" w:sz="4" w:space="0"/>
            </w:tcBorders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55" w:type="dxa"/>
            <w:vAlign w:val="top"/>
          </w:tcPr>
          <w:p>
            <w:pPr>
              <w:pStyle w:val="18"/>
              <w:tabs>
                <w:tab w:val="left" w:pos="317"/>
              </w:tabs>
              <w:spacing w:line="240" w:lineRule="auto"/>
              <w:ind w:left="34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 введены  согласно методическим рекомендациям по формированию вариативной составляющей (части)  основных образовательных программ в соответствии с ФГОС СПО в Самарской области (письмо 15.06.2018 г. №16/1846) (результаты изучения дисциплин смотреть в рабочих программах).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ПМ.00</w:t>
            </w:r>
          </w:p>
        </w:tc>
        <w:tc>
          <w:tcPr>
            <w:tcW w:w="2760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15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55" w:type="dxa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ПМ.01 </w:t>
            </w:r>
          </w:p>
        </w:tc>
        <w:tc>
          <w:tcPr>
            <w:tcW w:w="2760" w:type="dxa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Участие в проектировании зданий и сооружений</w:t>
            </w:r>
          </w:p>
        </w:tc>
        <w:tc>
          <w:tcPr>
            <w:tcW w:w="1155" w:type="dxa"/>
            <w:vMerge w:val="restart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918</w:t>
            </w:r>
          </w:p>
        </w:tc>
        <w:tc>
          <w:tcPr>
            <w:tcW w:w="5455" w:type="dxa"/>
            <w:vAlign w:val="top"/>
          </w:tcPr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согласно концепции региональной составляющей ООП ППССЗ: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- на увеличение объемов МДК ПМ.01, отражающих региональную специфику специальности 08.02.01 Строительство и эксплуатация зданий и сооружений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</w:trPr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ПМ.02</w:t>
            </w:r>
          </w:p>
        </w:tc>
        <w:tc>
          <w:tcPr>
            <w:tcW w:w="2760" w:type="dxa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Выполнение технологических процессов на объекте капитального строительства</w:t>
            </w:r>
          </w:p>
        </w:tc>
        <w:tc>
          <w:tcPr>
            <w:tcW w:w="1155" w:type="dxa"/>
            <w:vMerge w:val="continue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vAlign w:val="top"/>
          </w:tcPr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согласно концепции региональной составляющей ООП ППССЗ: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 на увеличение объемов МДК ПМ.02, ПП.02 отражающих региональную специфику специальности 08.02.01 Строительство и эксплуатация зданий и сооружений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ПМ.03</w:t>
            </w:r>
          </w:p>
        </w:tc>
        <w:tc>
          <w:tcPr>
            <w:tcW w:w="2760" w:type="dxa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bidi="ar"/>
              </w:rPr>
              <w:t xml:space="preserve">Организация деятельности структурных подразделений при выполнении строительно-монтажных, в том числе отделочных работ, эксплуатации , ремонте и реконструкций зданий и сооружений </w:t>
            </w:r>
          </w:p>
        </w:tc>
        <w:tc>
          <w:tcPr>
            <w:tcW w:w="1155" w:type="dxa"/>
            <w:vMerge w:val="continue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vAlign w:val="top"/>
          </w:tcPr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согласно концепции региональной составляющей ООП  ППССЗ: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 на увеличение объемов МДК ПМ.03, отражающих региональную специфику специальности 08.02.01 Строительство и эксплуатация зданий и сооружений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sz w:val="22"/>
                <w:szCs w:val="22"/>
                <w:lang w:val="ru-RU"/>
              </w:rPr>
              <w:t>- для реализации требований к образовательным результатам  выпускников программ СПО включён учебный элемент «Принципы и практики бережливого производства»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ПМ.04</w:t>
            </w:r>
          </w:p>
        </w:tc>
        <w:tc>
          <w:tcPr>
            <w:tcW w:w="2760" w:type="dxa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Организация видов работ при эксплуатации и реконструкции строительных объектов</w:t>
            </w:r>
          </w:p>
        </w:tc>
        <w:tc>
          <w:tcPr>
            <w:tcW w:w="1155" w:type="dxa"/>
            <w:vMerge w:val="continue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vAlign w:val="top"/>
          </w:tcPr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согласно концепции региональной составляющей ООП ППССЗ: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-3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 на увеличение объемов МДК ПМ.04, ПП.04  отражающих региональную специфику специальности 08.02.01 Строительство и эксплуатация зданий и сооружений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-3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tabs>
                <w:tab w:val="left" w:pos="-3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tabs>
                <w:tab w:val="left" w:pos="-3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ПМ.0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760" w:type="dxa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Выполнение работ по профессии рабочего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bidi="ar"/>
              </w:rPr>
              <w:t xml:space="preserve">13450 Маляр     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55" w:type="dxa"/>
            <w:vAlign w:val="top"/>
          </w:tcPr>
          <w:p>
            <w:pPr>
              <w:pStyle w:val="18"/>
              <w:keepNext w:val="0"/>
              <w:keepLines w:val="0"/>
              <w:pageBreakBefore w:val="0"/>
              <w:widowControl/>
              <w:tabs>
                <w:tab w:val="left" w:pos="31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4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Обоснование: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согласно концепции региональной составляющей ООП  ППССЗ: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 на увеличение объемов МДК ПМ.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07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, УП.0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7, ПП07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отражающих региональную специфику специальности 08.02.01 Строительство и эксплуатация зданий и сооружений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7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55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  <w:t>1296</w:t>
            </w:r>
          </w:p>
        </w:tc>
        <w:tc>
          <w:tcPr>
            <w:tcW w:w="5455" w:type="dxa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left="708" w:right="0" w:rightChars="0"/>
        <w:textAlignment w:val="auto"/>
        <w:outlineLvl w:val="9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  2.3.2  Реализация профессионального модуля по освоению рабочей профессии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соответствии с перечнем профессий рабочих, должностей служащих, рекомендуемых к освоению в рамках образовательной программы по специальности 08.02.01. Строительство и 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эксплуатация зданий и сооружений   в</w:t>
      </w:r>
      <w:r>
        <w:rPr>
          <w:rFonts w:hint="default" w:ascii="Times New Roman" w:hAnsi="Times New Roman" w:cs="Times New Roman"/>
          <w:sz w:val="24"/>
          <w:szCs w:val="24"/>
        </w:rPr>
        <w:t xml:space="preserve"> качестве осваиваем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ой</w:t>
      </w:r>
      <w:r>
        <w:rPr>
          <w:rFonts w:hint="default" w:ascii="Times New Roman" w:hAnsi="Times New Roman" w:cs="Times New Roman"/>
          <w:sz w:val="24"/>
          <w:szCs w:val="24"/>
        </w:rPr>
        <w:t xml:space="preserve"> професси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sz w:val="24"/>
          <w:szCs w:val="24"/>
        </w:rPr>
        <w:t xml:space="preserve"> выбран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</w:rPr>
        <w:t xml:space="preserve"> професси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я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рабочего </w:t>
      </w:r>
      <w:r>
        <w:rPr>
          <w:rFonts w:hint="default" w:ascii="Times New Roman" w:hAnsi="Times New Roman" w:cs="Times New Roman"/>
          <w:bCs/>
          <w:sz w:val="24"/>
          <w:szCs w:val="24"/>
        </w:rPr>
        <w:t xml:space="preserve">13450 </w:t>
      </w:r>
      <w:r>
        <w:rPr>
          <w:rFonts w:hint="default" w:ascii="Times New Roman" w:hAnsi="Times New Roman" w:cs="Times New Roman"/>
          <w:bCs/>
          <w:sz w:val="24"/>
          <w:szCs w:val="24"/>
          <w:lang w:val="ru-RU"/>
        </w:rPr>
        <w:t>«</w:t>
      </w:r>
      <w:r>
        <w:rPr>
          <w:rFonts w:hint="default" w:ascii="Times New Roman" w:hAnsi="Times New Roman" w:cs="Times New Roman"/>
          <w:bCs/>
          <w:sz w:val="24"/>
          <w:szCs w:val="24"/>
        </w:rPr>
        <w:t>Маляр</w:t>
      </w:r>
      <w:r>
        <w:rPr>
          <w:rFonts w:hint="default" w:ascii="Times New Roman" w:hAnsi="Times New Roman" w:cs="Times New Roman"/>
          <w:bCs/>
          <w:sz w:val="24"/>
          <w:szCs w:val="24"/>
          <w:lang w:val="ru-RU"/>
        </w:rPr>
        <w:t>».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Рабочая программа  ПМ.07 Выполнение работ по профессии рабочего 13450 «Маляр»  составлена </w:t>
      </w:r>
      <w:r>
        <w:rPr>
          <w:rFonts w:hint="default" w:ascii="Times New Roman" w:hAnsi="Times New Roman" w:cs="Times New Roman"/>
          <w:sz w:val="24"/>
          <w:szCs w:val="24"/>
        </w:rPr>
        <w:t>в соответствии с профессиональным стандарт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sz w:val="24"/>
          <w:szCs w:val="24"/>
        </w:rPr>
        <w:t>м «Маляр строительный», требованиями регионального рынка труда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 в соответствии с требованиями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WSR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При  освоении рабочей профессии «Маляр» студенты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сформируют умения и соответствующие профессиональные компетенции, </w:t>
      </w:r>
      <w:r>
        <w:rPr>
          <w:rFonts w:hint="default" w:ascii="Times New Roman" w:hAnsi="Times New Roman" w:cs="Times New Roman"/>
          <w:sz w:val="24"/>
          <w:szCs w:val="24"/>
        </w:rPr>
        <w:t>получат практический опыт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выполнения малярных работ различной степени сложности: </w:t>
      </w:r>
    </w:p>
    <w:tbl>
      <w:tblPr>
        <w:tblStyle w:val="14"/>
        <w:tblW w:w="1033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2" w:type="dxa"/>
            <w:vAlign w:val="top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чистка поверхностей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с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глаживание поверхностей вручную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с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оскабливание старой краски с расшивкой трещин и расчисткой выбоин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п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роолифливание деревянных поверхностей кистью и валиком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-1610" w:rightChars="-732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бработка недеревянных поверхностей грунтами и пропитками кистью или валиком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п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одмазывание отдельных мест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п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риготовление нейтрализующего раствора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р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асшивка трещин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в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ырезка сучьев и засмолов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п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риготовление шпатлевочных составов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н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анесение шпатлевочных составов на поверхности вручную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right="0" w:rightChars="0" w:firstLine="709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 р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азравнивание шпатлевочного состава, нанесенного механизированным способом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>
      <w:pPr>
        <w:spacing w:line="360" w:lineRule="auto"/>
        <w:ind w:firstLine="700" w:firstLineChars="0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spacing w:line="360" w:lineRule="auto"/>
        <w:ind w:firstLine="700" w:firstLineChars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3. Документы, определяющие содержание и организацию образовательного процесса</w:t>
      </w:r>
    </w:p>
    <w:p>
      <w:pPr>
        <w:widowControl w:val="0"/>
        <w:suppressAutoHyphens/>
        <w:spacing w:line="360" w:lineRule="auto"/>
        <w:ind w:left="439" w:leftChars="0" w:hanging="439" w:hangingChars="183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mallCap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mallCaps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smallCaps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smallCaps/>
          <w:sz w:val="24"/>
          <w:szCs w:val="24"/>
        </w:rPr>
        <w:t>3.1 У</w:t>
      </w:r>
      <w:r>
        <w:rPr>
          <w:rFonts w:hint="default" w:ascii="Times New Roman" w:hAnsi="Times New Roman" w:cs="Times New Roman"/>
          <w:b/>
          <w:sz w:val="24"/>
          <w:szCs w:val="24"/>
        </w:rPr>
        <w:t>чебный план очной и заочной формы обучения</w:t>
      </w:r>
    </w:p>
    <w:p>
      <w:pPr>
        <w:widowControl w:val="0"/>
        <w:suppressAutoHyphens/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hint="default" w:ascii="Times New Roman" w:hAnsi="Times New Roman" w:cs="Times New Roman"/>
          <w:sz w:val="24"/>
          <w:szCs w:val="24"/>
        </w:rPr>
        <w:t>Учебный план по специальности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среднего профессионального образования </w:t>
      </w:r>
      <w:r>
        <w:rPr>
          <w:rFonts w:hint="default" w:ascii="Times New Roman" w:hAnsi="Times New Roman" w:cs="Times New Roman"/>
          <w:sz w:val="24"/>
          <w:szCs w:val="24"/>
        </w:rPr>
        <w:t>08.02.01 Строительство и эксплуатация зданий и сооружений очной/заочной формы разработан для обучающихся на базе основного общего образования для очной формы обучения и на базе среднего общего образования для заочной формы обучения.</w:t>
      </w:r>
    </w:p>
    <w:p>
      <w:pPr>
        <w:widowControl w:val="0"/>
        <w:suppressAutoHyphens/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      Учебный план включает:</w:t>
      </w:r>
    </w:p>
    <w:p>
      <w:pPr>
        <w:widowControl w:val="0"/>
        <w:suppressAutoHyphens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           - титульный лист;</w:t>
      </w:r>
    </w:p>
    <w:p>
      <w:pPr>
        <w:widowControl w:val="0"/>
        <w:suppressAutoHyphens/>
        <w:spacing w:line="240" w:lineRule="auto"/>
        <w:jc w:val="both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           - сводные данные по бюджету времени</w:t>
      </w:r>
      <w:r>
        <w:rPr>
          <w:rFonts w:hint="default" w:ascii="Times New Roman" w:hAnsi="Times New Roman" w:cs="Times New Roman"/>
          <w:bCs/>
          <w:sz w:val="24"/>
          <w:szCs w:val="24"/>
        </w:rPr>
        <w:t xml:space="preserve"> (в неделях);</w:t>
      </w:r>
    </w:p>
    <w:p>
      <w:pPr>
        <w:widowControl w:val="0"/>
        <w:suppressAutoHyphens/>
        <w:spacing w:line="240" w:lineRule="auto"/>
        <w:jc w:val="both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 xml:space="preserve">                - план учебного процесса;</w:t>
      </w:r>
    </w:p>
    <w:p>
      <w:pPr>
        <w:widowControl w:val="0"/>
        <w:suppressAutoHyphens/>
        <w:spacing w:line="240" w:lineRule="auto"/>
        <w:jc w:val="both"/>
        <w:rPr>
          <w:rFonts w:hint="default" w:ascii="Times New Roman" w:hAnsi="Times New Roman" w:cs="Times New Roman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 xml:space="preserve">                 - перечень кабинетов, лабораторий, мастерских и других помещений</w:t>
      </w:r>
      <w:r>
        <w:rPr>
          <w:rFonts w:hint="default" w:ascii="Times New Roman" w:hAnsi="Times New Roman" w:cs="Times New Roman"/>
          <w:bCs/>
          <w:sz w:val="24"/>
          <w:szCs w:val="24"/>
          <w:lang w:val="ru-RU"/>
        </w:rPr>
        <w:t>;</w:t>
      </w:r>
    </w:p>
    <w:p>
      <w:pPr>
        <w:widowControl w:val="0"/>
        <w:suppressAutoHyphens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</w:t>
      </w:r>
      <w:r>
        <w:rPr>
          <w:rFonts w:hint="default" w:ascii="Times New Roman" w:hAnsi="Times New Roman" w:cs="Times New Roman"/>
          <w:sz w:val="24"/>
          <w:szCs w:val="24"/>
        </w:rPr>
        <w:t>- пояснительную записку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>
      <w:pPr>
        <w:widowControl w:val="0"/>
        <w:suppressAutoHyphens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80" w:firstLineChars="325"/>
        <w:jc w:val="both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3.2 Календарный учебный график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709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В календарном учебном графике указывается  последовательность реализации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ООП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ППССЗ </w:t>
      </w:r>
      <w:r>
        <w:rPr>
          <w:rFonts w:hint="default" w:ascii="Times New Roman" w:hAnsi="Times New Roman" w:cs="Times New Roman"/>
          <w:sz w:val="24"/>
          <w:szCs w:val="24"/>
        </w:rPr>
        <w:t>специальности  08.02.01 Строительство и эксплуатация зданий и сооружений, включая теоретическое обучение, практики, промежуточные и итоговую аттестации, каникулы. 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к</w:t>
      </w:r>
      <w:r>
        <w:rPr>
          <w:rFonts w:hint="default" w:ascii="Times New Roman" w:hAnsi="Times New Roman" w:cs="Times New Roman"/>
          <w:sz w:val="24"/>
          <w:szCs w:val="24"/>
        </w:rPr>
        <w:t>алендарный учебный график находится в папке «Учебно-планирующая документация специальности 08.02.01 Строительство и эксплуатация зданий и сооружений»).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75" w:firstLineChars="281"/>
        <w:jc w:val="both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3.3 Рабочие программы дисциплин, профессиональных модулей </w:t>
      </w:r>
    </w:p>
    <w:tbl>
      <w:tblPr>
        <w:tblStyle w:val="15"/>
        <w:tblW w:w="104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9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042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lang w:val="ru-RU"/>
              </w:rPr>
              <w:t>Программы дисциплин общего гуманитарного и социально-экономического  цикла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ОГСЭ.01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 xml:space="preserve"> Основы философии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ОГСЭ.02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История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ОГСЭ.03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Иностранный язык в профессиональной деятельности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ОГСЭ.04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Физическая культура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ОГСЭ. 05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Психология общения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ОГСЭ. 06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Общие компетенции профессионала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ОГСЭ. 07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Р</w:t>
            </w: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ын</w:t>
            </w: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 xml:space="preserve">ок </w:t>
            </w: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труда</w:t>
            </w: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 xml:space="preserve"> и профессиональная карьера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0421" w:type="dxa"/>
            <w:gridSpan w:val="2"/>
          </w:tcPr>
          <w:p>
            <w:pPr>
              <w:widowControl w:val="0"/>
              <w:suppressAutoHyphens/>
              <w:spacing w:line="36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Программы дисциплин математического и общего естественнонаучного цикла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ЕН.01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Математика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ЕН.02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Информатика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ЕН.03</w:t>
            </w:r>
          </w:p>
        </w:tc>
        <w:tc>
          <w:tcPr>
            <w:tcW w:w="9044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 xml:space="preserve"> Экологические основы природопользования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0421" w:type="dxa"/>
            <w:gridSpan w:val="2"/>
          </w:tcPr>
          <w:p>
            <w:pPr>
              <w:widowControl w:val="0"/>
              <w:suppressAutoHyphens/>
              <w:spacing w:line="360" w:lineRule="auto"/>
              <w:ind w:left="284" w:firstLine="424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Программы общепрофессиональн</w:t>
            </w:r>
            <w:r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  <w:t>ого цикла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ОП.01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Инженерная графика</w:t>
            </w:r>
          </w:p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ОП.02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Техническая механика</w:t>
            </w:r>
          </w:p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ОП.03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Основы электротехники</w:t>
            </w:r>
          </w:p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ОП.04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Основы геодезии</w:t>
            </w:r>
          </w:p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ОП.05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  <w:lang w:val="ru-RU"/>
              </w:rPr>
              <w:t>Общие сведение об инженерных системах</w:t>
            </w:r>
          </w:p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ОП.06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  <w:lang w:val="ru-RU"/>
              </w:rPr>
              <w:t>Информационный технологии в профессиональной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ОП.07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  <w:lang w:val="ru-RU"/>
              </w:rPr>
              <w:t>Экономика отрасли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ОП.08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Основы предпринимательс</w:t>
            </w:r>
            <w:r>
              <w:rPr>
                <w:rFonts w:ascii="Times New Roman" w:hAnsi="Times New Roman" w:eastAsia="Calibri" w:cs="Times New Roman"/>
                <w:sz w:val="22"/>
                <w:szCs w:val="22"/>
                <w:lang w:val="ru-RU"/>
              </w:rPr>
              <w:t>кой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</w:rPr>
              <w:t>ОП.09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  <w:lang w:val="ru-RU"/>
              </w:rPr>
              <w:t>Безопасность жизнедеятельности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377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  <w:lang w:val="ru-RU"/>
              </w:rPr>
              <w:t>ОП. 10</w:t>
            </w:r>
          </w:p>
        </w:tc>
        <w:tc>
          <w:tcPr>
            <w:tcW w:w="9044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sz w:val="22"/>
                <w:szCs w:val="22"/>
                <w:lang w:val="ru-RU"/>
              </w:rPr>
              <w:t>Основы финансовой грамотности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0421" w:type="dxa"/>
            <w:gridSpan w:val="2"/>
          </w:tcPr>
          <w:p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1560" w:hanging="852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2"/>
                <w:szCs w:val="22"/>
              </w:rPr>
              <w:t xml:space="preserve">Программы </w:t>
            </w:r>
            <w:r>
              <w:rPr>
                <w:rFonts w:hint="default" w:ascii="Times New Roman" w:hAnsi="Times New Roman" w:eastAsia="Calibri" w:cs="Times New Roman"/>
                <w:b/>
                <w:sz w:val="22"/>
                <w:szCs w:val="22"/>
                <w:lang w:val="ru-RU"/>
              </w:rPr>
              <w:t>профессионального цикла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>ПМ.01</w:t>
            </w:r>
          </w:p>
        </w:tc>
        <w:tc>
          <w:tcPr>
            <w:tcW w:w="9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>Участие в проектировании зданий и сооружений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>ПМ.02</w:t>
            </w:r>
          </w:p>
        </w:tc>
        <w:tc>
          <w:tcPr>
            <w:tcW w:w="9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 xml:space="preserve"> Выполнение технологических процессов </w:t>
            </w: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  <w:lang w:val="ru-RU"/>
              </w:rPr>
              <w:t>на объекте капитального строительства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>ПМ.03</w:t>
            </w:r>
          </w:p>
        </w:tc>
        <w:tc>
          <w:tcPr>
            <w:tcW w:w="9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 xml:space="preserve">Организация деятельности структурных подразделений при выполнении строительно-монтажных работ, </w:t>
            </w: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  <w:lang w:val="ru-RU"/>
              </w:rPr>
              <w:t xml:space="preserve">в том числе отделочных работ, </w:t>
            </w: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>эксплуатации</w:t>
            </w: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  <w:lang w:val="ru-RU"/>
              </w:rPr>
              <w:t xml:space="preserve">, ремонте и реконструкции </w:t>
            </w: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 xml:space="preserve"> зданий и сооружений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>ПМ.04</w:t>
            </w:r>
          </w:p>
        </w:tc>
        <w:tc>
          <w:tcPr>
            <w:tcW w:w="9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 xml:space="preserve">Организация видов работ при эксплуатации </w:t>
            </w: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  <w:lang w:val="ru-RU"/>
              </w:rPr>
              <w:t xml:space="preserve">и реконструкции </w:t>
            </w: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highlight w:val="none"/>
              </w:rPr>
              <w:t>строительных объектов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</w:rPr>
              <w:t>ПМ.0</w:t>
            </w:r>
            <w:r>
              <w:rPr>
                <w:rFonts w:hint="default" w:ascii="Times New Roman" w:hAnsi="Times New Roman" w:eastAsia="Calibri" w:cs="Times New Roman"/>
                <w:bCs/>
                <w:sz w:val="22"/>
                <w:szCs w:val="22"/>
                <w:lang w:val="ru-RU"/>
              </w:rPr>
              <w:t>7</w:t>
            </w:r>
          </w:p>
        </w:tc>
        <w:tc>
          <w:tcPr>
            <w:tcW w:w="9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Выполнение работ по профессии рабочего 13450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>"Маляр"</w:t>
            </w:r>
          </w:p>
        </w:tc>
      </w:tr>
    </w:tbl>
    <w:tbl>
      <w:tblPr>
        <w:tblStyle w:val="14"/>
        <w:tblW w:w="1013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"/>
        <w:gridCol w:w="142"/>
        <w:gridCol w:w="383"/>
        <w:gridCol w:w="8264"/>
        <w:gridCol w:w="518"/>
        <w:gridCol w:w="7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22" w:type="dxa"/>
        </w:trPr>
        <w:tc>
          <w:tcPr>
            <w:tcW w:w="250" w:type="dxa"/>
            <w:gridSpan w:val="2"/>
            <w:vAlign w:val="top"/>
          </w:tcPr>
          <w:p>
            <w:pPr>
              <w:widowControl w:val="0"/>
              <w:suppressAutoHyphens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65" w:type="dxa"/>
            <w:gridSpan w:val="3"/>
            <w:vAlign w:val="top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sz w:val="23"/>
                <w:szCs w:val="23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3"/>
                <w:szCs w:val="23"/>
                <w:lang w:val="en-US"/>
              </w:rPr>
              <w:t xml:space="preserve">  </w:t>
            </w:r>
          </w:p>
          <w:p>
            <w:pPr>
              <w:spacing w:line="36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3"/>
                <w:szCs w:val="23"/>
                <w:lang w:val="ru-RU"/>
              </w:rPr>
              <w:t>Программы учебной и производственной практики (по профилю специальности)</w:t>
            </w:r>
          </w:p>
          <w:p>
            <w:pPr>
              <w:spacing w:line="360" w:lineRule="auto"/>
              <w:ind w:left="0" w:leftChars="0" w:firstLine="219" w:firstLineChars="95"/>
              <w:jc w:val="left"/>
              <w:rPr>
                <w:rFonts w:hint="default" w:ascii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3"/>
                <w:szCs w:val="23"/>
                <w:lang w:val="ru-RU"/>
              </w:rPr>
              <w:t>Программа производственной практики (преддипломной)</w:t>
            </w:r>
          </w:p>
          <w:p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3.4 Календарно-тематические планы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учебных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дисциплин, профессиональных модулей</w:t>
            </w:r>
          </w:p>
          <w:p>
            <w:pPr>
              <w:pStyle w:val="17"/>
              <w:spacing w:line="360" w:lineRule="auto"/>
              <w:ind w:firstLine="601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Комплект календарно-тематических планов находится в папке «Календарно-тематические планы  специальности 08.02.01 Строительство и эксплуатация зданий и сооружений».</w:t>
            </w:r>
          </w:p>
          <w:p>
            <w:pPr>
              <w:widowControl w:val="0"/>
              <w:suppressAutoHyphens/>
              <w:spacing w:line="360" w:lineRule="auto"/>
              <w:ind w:left="-1008" w:firstLine="709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3.5 Учебно-методическая документация, обеспечивающая реализацию рабочих программ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учебных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дисциплин и профессиональных модулей</w:t>
            </w:r>
          </w:p>
          <w:p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      Комплект учебно-методической документации, обеспечивающая реализацию рабочих программ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учебных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дисциплин и профессиональных модулей находится в папках «Учебно-методический комплекс специальности 08.02.01 Строительство и эксплуатация зданий и сооружений.</w:t>
            </w:r>
          </w:p>
          <w:p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3.6 Учебно-методическая документация, обеспечивающая реализацию производственного обучения</w:t>
            </w:r>
          </w:p>
          <w:p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Комплект учебно-методической документации, обеспечивающей реализацию производственного обучения находится в папке «Методическое обеспечение практик специальности 08.02.01 Строительство и эксплуатация зданий и сооружений».</w:t>
            </w:r>
          </w:p>
          <w:p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4 Материально-техническое обеспечение реализации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основной образовательной программы специалистов среднего звена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7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Для реализации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основной образовательной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программы подготовки специалистов среднего звена в колледже оборудованы учебные кабинеты и лаборатории с оснащением техническими средствами обучения, методическими и дидактическими материалами, необходимым лицензионным программным обеспечением.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Материально-техническая база соответствует действующим санитарным и противопожарным нормам.</w:t>
            </w:r>
          </w:p>
          <w:p>
            <w:pPr>
              <w:widowControl w:val="0"/>
              <w:suppressAutoHyphens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Перечень кабинетов, лабораторий, мастерских и других помещений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 специальности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каб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инета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8789" w:type="dxa"/>
            <w:gridSpan w:val="3"/>
            <w:vAlign w:val="top"/>
          </w:tcPr>
          <w:p>
            <w:pPr>
              <w:widowControl w:val="0"/>
              <w:tabs>
                <w:tab w:val="left" w:pos="540"/>
              </w:tabs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Кабинеты: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widowControl w:val="0"/>
              <w:tabs>
                <w:tab w:val="left" w:pos="540"/>
              </w:tabs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widowControl w:val="0"/>
              <w:tabs>
                <w:tab w:val="left" w:pos="540"/>
              </w:tabs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widowControl w:val="0"/>
              <w:tabs>
                <w:tab w:val="left" w:pos="540"/>
              </w:tabs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widowControl w:val="0"/>
              <w:tabs>
                <w:tab w:val="left" w:pos="540"/>
              </w:tabs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математики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widowControl w:val="0"/>
              <w:tabs>
                <w:tab w:val="left" w:pos="540"/>
              </w:tabs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widowControl w:val="0"/>
              <w:tabs>
                <w:tab w:val="left" w:pos="540"/>
              </w:tabs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информатики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widowControl w:val="0"/>
              <w:tabs>
                <w:tab w:val="left" w:pos="540"/>
              </w:tabs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111,108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инженерной графики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305, 304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технической механики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электротехники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строительных материалов и изделий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основ инженерной геологии при производстве работ на строительной площадке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4" w:type="dxa"/>
            <w:vAlign w:val="top"/>
          </w:tcPr>
          <w:p>
            <w:pPr>
              <w:widowControl w:val="0"/>
              <w:tabs>
                <w:tab w:val="left" w:pos="540"/>
              </w:tabs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основ геодезии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widowControl w:val="0"/>
              <w:tabs>
                <w:tab w:val="left" w:pos="540"/>
              </w:tabs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widowControl w:val="0"/>
              <w:tabs>
                <w:tab w:val="left" w:pos="540"/>
              </w:tabs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инженерных сетей и оборудования территорий, зданий и стройплощадок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widowControl w:val="0"/>
              <w:tabs>
                <w:tab w:val="left" w:pos="540"/>
              </w:tabs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экономики организации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проектно-сметного дела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проектирования здания и сооружений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М28а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эксплуатации зданий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реконструкции зданий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проектирования производства работ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технологии и организации строительных процессов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безопасности жизнедеятельности,  и  охраны труда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57"/>
                <w:tab w:val="clear" w:pos="720"/>
              </w:tabs>
              <w:ind w:left="114" w:hanging="114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оперативного управления деятельностью структурных подразделений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8789" w:type="dxa"/>
            <w:gridSpan w:val="3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Лаборатории 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испытания строительных материалов и конструкций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технической механики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информационных технологий в профессиональной деятельности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8789" w:type="dxa"/>
            <w:gridSpan w:val="3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Мастерские 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каменных работ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об. 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плотнично-столярных работ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полигон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штукатурных и облицовочных работ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об. 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малярных работ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об. 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8789" w:type="dxa"/>
            <w:gridSpan w:val="3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Полигоны 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геодезический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вн. двор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  <w:trHeight w:val="53" w:hRule="atLeast"/>
        </w:trPr>
        <w:tc>
          <w:tcPr>
            <w:tcW w:w="8789" w:type="dxa"/>
            <w:gridSpan w:val="3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Спортивный комплекс: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4" w:type="dxa"/>
            <w:vAlign w:val="top"/>
          </w:tcPr>
          <w:p>
            <w:pPr>
              <w:widowControl w:val="0"/>
              <w:tabs>
                <w:tab w:val="left" w:pos="540"/>
              </w:tabs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стрелковый тир (в любой модификации, включая электронный) или место для стрельбы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widowControl w:val="0"/>
              <w:tabs>
                <w:tab w:val="left" w:pos="540"/>
              </w:tabs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8789" w:type="dxa"/>
            <w:gridSpan w:val="3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Залы: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4" w:type="dxa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библиотека, читальный зал с выходом в сеть Интернет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08" w:type="dxa"/>
        </w:trPr>
        <w:tc>
          <w:tcPr>
            <w:tcW w:w="525" w:type="dxa"/>
            <w:gridSpan w:val="2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4" w:type="dxa"/>
            <w:vAlign w:val="top"/>
          </w:tcPr>
          <w:p>
            <w:pPr>
              <w:widowControl w:val="0"/>
              <w:tabs>
                <w:tab w:val="left" w:pos="540"/>
              </w:tabs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240" w:type="dxa"/>
            <w:gridSpan w:val="2"/>
            <w:vAlign w:val="top"/>
          </w:tcPr>
          <w:p>
            <w:pPr>
              <w:widowControl w:val="0"/>
              <w:tabs>
                <w:tab w:val="left" w:pos="540"/>
              </w:tabs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widowControl w:val="0"/>
        <w:suppressAutoHyphens/>
        <w:jc w:val="both"/>
        <w:rPr>
          <w:rFonts w:hint="default" w:ascii="Times New Roman" w:hAnsi="Times New Roman" w:cs="Times New Roman"/>
          <w:b/>
          <w:smallCaps/>
          <w:sz w:val="24"/>
          <w:szCs w:val="24"/>
        </w:rPr>
        <w:sectPr>
          <w:footerReference r:id="rId3" w:type="even"/>
          <w:pgSz w:w="11906" w:h="16838"/>
          <w:pgMar w:top="851" w:right="567" w:bottom="567" w:left="1134" w:header="709" w:footer="709" w:gutter="0"/>
          <w:cols w:space="720" w:num="1"/>
          <w:docGrid w:linePitch="360" w:charSpace="0"/>
        </w:sect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5 Оценка результатов освоения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образовательной программы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подготовки специалистов среднего звена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20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5.1 Контроль и оценка достижений обучающихся</w:t>
      </w:r>
    </w:p>
    <w:p>
      <w:pPr>
        <w:keepNext w:val="0"/>
        <w:keepLines w:val="0"/>
        <w:pageBreakBefore w:val="0"/>
        <w:widowControl w:val="0"/>
        <w:shd w:val="clear" w:color="auto" w:fill="FFFFFF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color w:val="000000"/>
          <w:spacing w:val="-1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000000"/>
          <w:spacing w:val="-1"/>
          <w:sz w:val="24"/>
          <w:szCs w:val="24"/>
          <w:highlight w:val="none"/>
        </w:rPr>
        <w:t xml:space="preserve">Оценка качества освоения </w:t>
      </w:r>
      <w:r>
        <w:rPr>
          <w:rFonts w:hint="default" w:ascii="Times New Roman" w:hAnsi="Times New Roman" w:cs="Times New Roman"/>
          <w:color w:val="000000"/>
          <w:spacing w:val="-1"/>
          <w:sz w:val="24"/>
          <w:szCs w:val="24"/>
          <w:highlight w:val="none"/>
          <w:lang w:val="ru-RU"/>
        </w:rPr>
        <w:t xml:space="preserve">основной образовательной </w:t>
      </w:r>
      <w:r>
        <w:rPr>
          <w:rFonts w:hint="default" w:ascii="Times New Roman" w:hAnsi="Times New Roman" w:cs="Times New Roman"/>
          <w:color w:val="000000"/>
          <w:spacing w:val="-1"/>
          <w:sz w:val="24"/>
          <w:szCs w:val="24"/>
          <w:highlight w:val="none"/>
        </w:rPr>
        <w:t>программы подготовки специалистов среднего звена включает текущий контроль знаний, промежуточную и государственную итоговую аттестацию обучающихся. Текущий контроль знаний включает в себя: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pacing w:val="-1"/>
          <w:sz w:val="24"/>
          <w:szCs w:val="24"/>
        </w:rPr>
        <w:t xml:space="preserve">входной контроль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определяет способности обучающегося и его готовность к восприятию и освоению учебного материала. Входной контроль, предваряющий обучение, проводится в форме устного опроса или тестирования.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pacing w:val="-1"/>
          <w:sz w:val="24"/>
          <w:szCs w:val="24"/>
        </w:rPr>
        <w:t xml:space="preserve">текущий контроль </w:t>
      </w:r>
      <w:r>
        <w:rPr>
          <w:rFonts w:hint="default" w:ascii="Times New Roman" w:hAnsi="Times New Roman" w:cs="Times New Roman"/>
          <w:sz w:val="24"/>
          <w:szCs w:val="24"/>
        </w:rPr>
        <w:t xml:space="preserve">осуществляется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информации о выполнении и правильности выполнения обучаемым требуемых действий в процессе учебной деятельности, о соответствии формы действия данному этапу усвоения учебного материала, о формировании действия с должной мерой обобщения, освоения (автоматизированности, быстроты выполнения и др.) и т.д.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1134"/>
        </w:tabs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рубежный контроль достижений обучающихся базируется на модульном принципе организации обучения по разделам учебной дисциплины. Рубежный контроль проводится на основании документированной процедуры ДП 02-08 «Планирование и проведение рубежного контроля».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Промежуточная аттестация обучающихся осуществляется по каждой дисциплине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МДК </w:t>
      </w:r>
      <w:r>
        <w:rPr>
          <w:rFonts w:hint="default" w:ascii="Times New Roman" w:hAnsi="Times New Roman" w:cs="Times New Roman"/>
          <w:sz w:val="24"/>
          <w:szCs w:val="24"/>
        </w:rPr>
        <w:t xml:space="preserve"> и профессиональному модулю, разрабатывается согласно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положению П 02.5-09 «Организация и проведение текущего контроля и </w:t>
      </w:r>
      <w:r>
        <w:rPr>
          <w:rFonts w:hint="default" w:ascii="Times New Roman" w:hAnsi="Times New Roman" w:cs="Times New Roman"/>
          <w:sz w:val="24"/>
          <w:szCs w:val="24"/>
        </w:rPr>
        <w:t xml:space="preserve"> промежуточной аттестации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обучающихся</w:t>
      </w:r>
      <w:r>
        <w:rPr>
          <w:rFonts w:hint="default" w:ascii="Times New Roman" w:hAnsi="Times New Roman" w:cs="Times New Roman"/>
          <w:sz w:val="24"/>
          <w:szCs w:val="24"/>
        </w:rPr>
        <w:t xml:space="preserve">» в форме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зачётов</w:t>
      </w:r>
      <w:r>
        <w:rPr>
          <w:rFonts w:hint="default" w:ascii="Times New Roman" w:hAnsi="Times New Roman" w:cs="Times New Roman"/>
          <w:sz w:val="24"/>
          <w:szCs w:val="24"/>
        </w:rPr>
        <w:t xml:space="preserve"> или экзаменов и доводится до сведения обучающихся в течение первых двух месяцев от начала обучения.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684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Промежуточная  аттестация проводится в форме  экзамена,  дифференцированного зачёта,  (по учебным дисциплинам и МДК), экзамена (квалификационного), в том числе  на предприятии согласно договорам об организации дуального обучения,  являющегося итоговой аттестацией по профессиональному модулю, проверкой  сформированности  компетенций и готовности к выполнению вида  деятельности,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определённых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в разделе «Требования к результатам освоения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ООП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ППССЗ» Федерального государственного образовательного стандарта. Итогом проверки является однозначное решение: «вид  деятельности «освоен/ не освоен».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684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Государственная итоговая аттестация проводится с целью установить соответствие уровня и качества подготовки выпускников требованиям ФГОС и работодателей и включает подготовку и защиту выпускной квалификационной работы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 (далее - ВКР). ВКР выполняется в виде дипломного проекта и демонстрационного экзамена (далее - ДЭ).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Процедура ДЭ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проводится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как минимум по одной из компетенций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WSR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. Требования к оснащению процесса демонстрационного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экзамена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в рамках государственной итоговой аттестации должны соответствовать инфраструктурным листам Чемпионатов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WSR/ </w:t>
      </w:r>
      <w:r>
        <w:rPr>
          <w:rFonts w:hint="default" w:ascii="Times New Roman" w:hAnsi="Times New Roman" w:cs="Times New Roman"/>
          <w:sz w:val="24"/>
          <w:szCs w:val="24"/>
        </w:rPr>
        <w:t xml:space="preserve">Защита выпускной квалификационной работы (дипломного проекта) может быть проведена на предприятии, на котором осуществлялось дуальное обучение по профессиональным модулям и проводились квалификационные экзамены согласно договорам об организации дуального обучения.  Обязательное требование – соответствие тематики выпускной квалификационной работы содержанию одного или нескольких профессиональных модулей. </w:t>
      </w:r>
    </w:p>
    <w:p>
      <w:pPr>
        <w:keepNext w:val="0"/>
        <w:keepLines w:val="0"/>
        <w:pageBreakBefore w:val="0"/>
        <w:widowControl w:val="0"/>
        <w:tabs>
          <w:tab w:val="left" w:pos="720"/>
          <w:tab w:val="left" w:pos="864"/>
          <w:tab w:val="left" w:pos="1152"/>
          <w:tab w:val="left" w:pos="1440"/>
          <w:tab w:val="left" w:pos="2592"/>
          <w:tab w:val="left" w:pos="3168"/>
          <w:tab w:val="left" w:pos="3456"/>
        </w:tabs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684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Требования к содержанию,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объёму</w:t>
      </w:r>
      <w:r>
        <w:rPr>
          <w:rFonts w:hint="default" w:ascii="Times New Roman" w:hAnsi="Times New Roman" w:cs="Times New Roman"/>
          <w:sz w:val="24"/>
          <w:szCs w:val="24"/>
        </w:rPr>
        <w:t xml:space="preserve">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образовательных учреждений среднего профессионального образования,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утверждённого</w:t>
      </w:r>
      <w:r>
        <w:rPr>
          <w:rFonts w:hint="default" w:ascii="Times New Roman" w:hAnsi="Times New Roman" w:cs="Times New Roman"/>
          <w:sz w:val="24"/>
          <w:szCs w:val="24"/>
        </w:rPr>
        <w:t xml:space="preserve">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определённого</w:t>
      </w:r>
      <w:r>
        <w:rPr>
          <w:rFonts w:hint="default" w:ascii="Times New Roman" w:hAnsi="Times New Roman" w:cs="Times New Roman"/>
          <w:sz w:val="24"/>
          <w:szCs w:val="24"/>
        </w:rPr>
        <w:t xml:space="preserve"> в соответствии с приказом  Минобрнауки  РФ от 16 августа 2013г. № 968,  Москва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 согласно методическим рекомендациям 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 по программам подготовки специалистов среднего звена (письмо Минобрнауки России от 20.07.2015 №06-846), с изменениями и дополнениями от 31.01.2014 г., 17.11.2017 г.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5.2 Порядок выполнения и защиты выпускной квалификационной работы</w:t>
      </w:r>
    </w:p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Требования к содержанию,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объёму</w:t>
      </w:r>
      <w:r>
        <w:rPr>
          <w:rFonts w:hint="default" w:ascii="Times New Roman" w:hAnsi="Times New Roman" w:cs="Times New Roman"/>
          <w:sz w:val="24"/>
          <w:szCs w:val="24"/>
        </w:rPr>
        <w:t xml:space="preserve"> и структуре выпускной квалификационной работы определяются Программой государственной итоговой аттестации выпускников колледжа по специальности 08.02.0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1 Строительство и эксплуатация зданий и сооружений</w:t>
      </w:r>
      <w:r>
        <w:rPr>
          <w:rFonts w:hint="default" w:ascii="Times New Roman" w:hAnsi="Times New Roman" w:cs="Times New Roman"/>
          <w:sz w:val="24"/>
          <w:szCs w:val="24"/>
        </w:rPr>
        <w:t xml:space="preserve">. Программа государственной итоговой аттестации, содержащая формы, условия проведения и защиты выпускной квалификационной работы, разработана государственной экзаменационной комиссией и утверждена директором Тольяттинского политехнического колледжа.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Содержания программы государственной итоговой аттестации, условия выполнения и защиты выпускной квалификационной работы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критерии оценки знаний</w:t>
      </w:r>
      <w:r>
        <w:rPr>
          <w:rFonts w:hint="default" w:ascii="Times New Roman" w:hAnsi="Times New Roman" w:cs="Times New Roman"/>
          <w:sz w:val="24"/>
          <w:szCs w:val="24"/>
        </w:rPr>
        <w:t xml:space="preserve"> доводятся до сведения обучающихся не позднее, чем за шесть месяцев до начала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ГИА.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5.3 Организация государственной итоговой аттестации выпускников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 государственной итоговой аттестации допускаются лица,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завершившие полный курс обучения по ООП ППССЗ  и </w:t>
      </w:r>
      <w:r>
        <w:rPr>
          <w:rFonts w:hint="default" w:ascii="Times New Roman" w:hAnsi="Times New Roman" w:cs="Times New Roman"/>
          <w:sz w:val="24"/>
          <w:szCs w:val="24"/>
        </w:rPr>
        <w:t xml:space="preserve">успешно прошедшие все промежуточные аттестационные испытания, предусмотренные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учебным планом.</w:t>
      </w:r>
      <w:r>
        <w:rPr>
          <w:rFonts w:hint="default" w:ascii="Times New Roman" w:hAnsi="Times New Roman" w:cs="Times New Roman"/>
          <w:sz w:val="24"/>
          <w:szCs w:val="24"/>
        </w:rPr>
        <w:t xml:space="preserve"> 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прохождение практики по каждому из видов профессиональной деятельности. Для этих целей выпускником могут быть предоставлены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отчёты</w:t>
      </w:r>
      <w:r>
        <w:rPr>
          <w:rFonts w:hint="default" w:ascii="Times New Roman" w:hAnsi="Times New Roman" w:cs="Times New Roman"/>
          <w:sz w:val="24"/>
          <w:szCs w:val="24"/>
        </w:rPr>
        <w:t xml:space="preserve">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производственных и преддипломной практик.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ходе защиты выпускной квалификационной работы членами государственной экзаменационной комиссии проводится оценка освоенных выпускниками профессиональных и общих компетенций в соответствии с критериями,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утверждёнными</w:t>
      </w:r>
      <w:r>
        <w:rPr>
          <w:rFonts w:hint="default" w:ascii="Times New Roman" w:hAnsi="Times New Roman" w:cs="Times New Roman"/>
          <w:sz w:val="24"/>
          <w:szCs w:val="24"/>
        </w:rPr>
        <w:t xml:space="preserve"> Тольяттинским политехническим колледжем в согласовании с работодателями.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360" w:lineRule="auto"/>
        <w:ind w:left="0" w:leftChars="0" w:right="0" w:rightChars="0" w:firstLine="709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Оценка качества освоения программы подготовки специалистов среднего звена осуществляется государственной аттестационной комиссией по результатам защиты выпускной квалификационной работы, промежуточных аттестационных испытаний и на основании документов, подтверждающих освоение обучающимся всех компетенций. Членами государственной экзаменационной комиссии по медиане оценок, освоенных выпускниками профессиональных и общих компетенций определяется интегральная оценка качества освоения программы подготовки специалистов среднего звена.</w:t>
      </w:r>
    </w:p>
    <w:p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 основании решения государственной экзаменационной комиссии лицам, успешно прошедшим государственную итоговую аттестацию, выдаются документы об образовании и о квалификации. Документом  установленного образца  об уровне среднего профессионального образования по специальности с присвоением квалификации по образованию является диплом о среднем профессиональном образовании. </w:t>
      </w:r>
    </w:p>
    <w:p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Лицам, прошедшим процедуру демонстрационного экзамена с применением оценочных материалов, разработанных союзом, выдаётся паспорт  компетенций (Скиллс паспорт), подтверждающий полученный  результат, выраженный в баллах.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sectPr>
          <w:footerReference r:id="rId4" w:type="default"/>
          <w:footerReference r:id="rId5" w:type="even"/>
          <w:pgSz w:w="11906" w:h="16838"/>
          <w:pgMar w:top="733" w:right="567" w:bottom="60" w:left="1134" w:header="709" w:footer="709" w:gutter="0"/>
          <w:cols w:space="720" w:num="1"/>
        </w:sectPr>
      </w:pPr>
      <w:r>
        <w:br w:type="page"/>
      </w:r>
    </w:p>
    <w:p>
      <w:pPr>
        <w:spacing w:line="360" w:lineRule="auto"/>
        <w:ind w:left="440" w:leftChars="200" w:firstLine="440" w:firstLineChars="200"/>
        <w:jc w:val="center"/>
        <w:rPr>
          <w:rFonts w:hint="default" w:ascii="Times New Roman" w:hAnsi="Times New Roman" w:cs="Times New Roman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Приложение к пояснительной записке ППССЗ</w:t>
      </w:r>
    </w:p>
    <w:p>
      <w:pPr>
        <w:spacing w:line="360" w:lineRule="auto"/>
        <w:ind w:left="440" w:leftChars="200" w:firstLine="440" w:firstLineChars="200"/>
        <w:jc w:val="center"/>
        <w:rPr>
          <w:rFonts w:hint="default" w:ascii="Times New Roman" w:hAnsi="Times New Roman" w:cs="Times New Roman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по специальности 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ru-RU"/>
        </w:rPr>
        <w:t>08.02.01 Строительство и эксплуатация зданий и сооружений</w:t>
      </w:r>
    </w:p>
    <w:p>
      <w:pPr>
        <w:ind w:left="440" w:leftChars="200" w:firstLine="440" w:firstLineChars="200"/>
        <w:jc w:val="center"/>
        <w:rPr>
          <w:rFonts w:hint="default" w:ascii="Times New Roman" w:hAnsi="Times New Roman" w:cs="Times New Roman"/>
          <w:sz w:val="22"/>
          <w:szCs w:val="22"/>
          <w:u w:val="single"/>
          <w:lang w:val="ru-RU"/>
        </w:rPr>
      </w:pPr>
      <w:r>
        <w:rPr>
          <w:rFonts w:hint="default" w:ascii="Times New Roman" w:hAnsi="Times New Roman" w:cs="Times New Roman"/>
          <w:sz w:val="22"/>
          <w:szCs w:val="22"/>
          <w:u w:val="single"/>
          <w:lang w:val="ru-RU"/>
        </w:rPr>
        <w:t>(ППССЗ утверждена приказом директора ГБПОУ СО «ТПК» от 03.06.2019 г. № 01-09/152</w:t>
      </w:r>
    </w:p>
    <w:p>
      <w:pPr>
        <w:ind w:left="440" w:leftChars="200" w:firstLine="440" w:firstLineChars="200"/>
        <w:jc w:val="center"/>
        <w:rPr>
          <w:rFonts w:hint="default"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ru-RU"/>
        </w:rPr>
        <w:t>Антикоррупционное воспитание и образование в содержании учебных дисциплин</w:t>
      </w:r>
    </w:p>
    <w:p>
      <w:pPr>
        <w:spacing w:line="240" w:lineRule="auto"/>
        <w:ind w:left="440" w:leftChars="200" w:firstLine="440" w:firstLineChars="200"/>
        <w:jc w:val="center"/>
        <w:rPr>
          <w:rFonts w:hint="default" w:ascii="Times New Roman" w:hAnsi="Times New Roman" w:cs="Times New Roman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sz w:val="22"/>
          <w:szCs w:val="22"/>
          <w:lang w:val="ru-RU"/>
        </w:rPr>
        <w:t>(в соответствии с письмом Минобрнауки России от 03.05.2015 №08-1189 «О направлении информации (вместе с «Методическими рекомендациями по воспитанию антикоррупционного мировоззрения у школьников и студентов»)</w:t>
      </w:r>
    </w:p>
    <w:tbl>
      <w:tblPr>
        <w:tblStyle w:val="14"/>
        <w:tblpPr w:leftFromText="180" w:rightFromText="180" w:vertAnchor="text" w:horzAnchor="page" w:tblpX="1528" w:tblpY="72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415"/>
        <w:gridCol w:w="1950"/>
        <w:gridCol w:w="6566"/>
        <w:gridCol w:w="16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  <w:tblHeader/>
        </w:trPr>
        <w:tc>
          <w:tcPr>
            <w:tcW w:w="3218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дидактические единицы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(в соответствии с письмом Минобрнауки России от 03.05.2015 № 08-1189)</w:t>
            </w:r>
          </w:p>
        </w:tc>
        <w:tc>
          <w:tcPr>
            <w:tcW w:w="141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Учебный цикл</w:t>
            </w:r>
          </w:p>
        </w:tc>
        <w:tc>
          <w:tcPr>
            <w:tcW w:w="19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Наименование УП, УД, МДК</w:t>
            </w:r>
          </w:p>
        </w:tc>
        <w:tc>
          <w:tcPr>
            <w:tcW w:w="656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Наименование раздела, темы, аудиторных занятий, задания на внеаудиторную самостоятельную работу студентов</w:t>
            </w:r>
          </w:p>
        </w:tc>
        <w:tc>
          <w:tcPr>
            <w:tcW w:w="1637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Количество часов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Причины появления коррупции в России. Влияние монголо-татарского ига на усиление коррупционных связей.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  <w:t>ОУП.05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  <w:t>История</w:t>
            </w: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Раздел 4. От Древней Руси к Российскому государству. 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Тема 4.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. Монгольское завоевание и его влияние на усиление коррупционных связей.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Причины появления коррупции в России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Брачные связи как коррупционное средство</w:t>
            </w:r>
          </w:p>
        </w:tc>
        <w:tc>
          <w:tcPr>
            <w:tcW w:w="141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Раздел 5. Россия в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>XVI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>XVII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 веках: от великого княжества к царству.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Брачные связи как коррупционное средство.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 xml:space="preserve">Должностные злоупотребления при дворе Петра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Значение фаворитизма в формировании коррупционного поведения.</w:t>
            </w:r>
          </w:p>
        </w:tc>
        <w:tc>
          <w:tcPr>
            <w:tcW w:w="141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Раздел 7. Россия в конце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>XVII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 –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>XVIII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 веков: от царства к империи.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Тема 7.2. Экономическое и социальное развитие в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>XVIII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 веке. Должностные злоупотребления при дворе Петра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</w:rPr>
              <w:t>I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. 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Значение фаворитизма в формировании коррупционного поведения.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Сословная система как причина социального неравенства. Создание государственных органов по борьбе с коррупцией</w:t>
            </w:r>
          </w:p>
        </w:tc>
        <w:tc>
          <w:tcPr>
            <w:tcW w:w="141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 xml:space="preserve">Раздел 10. Российская империя в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XIX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 xml:space="preserve"> веке.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 xml:space="preserve">Тема 10.2. Политика Николая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. Создание государственных органов по борьбе с коррупцией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Сословная система как причина социального неравенства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Революционные настроения как форма общественного противодействия коррупционному произволу</w:t>
            </w:r>
          </w:p>
        </w:tc>
        <w:tc>
          <w:tcPr>
            <w:tcW w:w="141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  <w:t>ОУП.05</w:t>
            </w: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  <w:t>История</w:t>
            </w: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Раздел 11. От Новой истории к Новейшей.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Революционные настроения как форма общественного противодействия коррупционному произволу.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Партийная коррупция как самостоятельное направление коррупционного поведения</w:t>
            </w:r>
          </w:p>
        </w:tc>
        <w:tc>
          <w:tcPr>
            <w:tcW w:w="141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Раздел 15. Апогей и кризис советской системы. 1945-1991 годы.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Партийная коррупция как самостоятельное направление коррупционного поведения.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ОУП.11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Обществознание</w:t>
            </w: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1.1. Природа человека, врожденные и приобритенные качества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Развитое правосознание и высокий уровень правовой культуры - основа свободы личности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Развитое правосознание и высокий уровень правовой культуры - основы свободы личности.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1.2. Общество как сложная система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Мотивы коррупционного поведения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Межличностные отношения и конфликты. Мотивы коррупционного  поведения.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Негативные последствия коррупционных факторов для общественных институтов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Основные институты и подсистемы общества, их функции. Негативные последствия коррупционных факторов для общественных институтов.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Коррупция как вызов нормальному состоянию современного общества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Коррупция как вызов и угроза нормальному состоянию современного общества.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Раздел 2. Духовная культура человека и общества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2.2. Наука и образование в современном мире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Коррупция - социально опасное явление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Правовое регулирование образования. Коррупция - социально опасное явление.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Раздел 3. Экономика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3.1. Экономика и экономическая наука. Экономические системы.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Экономические предпосылки коррупционных явлений</w:t>
            </w:r>
          </w:p>
        </w:tc>
        <w:tc>
          <w:tcPr>
            <w:tcW w:w="1415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ОУП.11</w:t>
            </w:r>
          </w:p>
        </w:tc>
        <w:tc>
          <w:tcPr>
            <w:tcW w:w="1950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Обществознание</w:t>
            </w: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Рынок и рыночные отношения. Экономические предпосылки коррупционных явлений.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3.2.  Рынок. Фирма. Роль государства в экономике.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Экономические издержки коррупции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Основные организационные формы бизнеса в России. Экономические издержки коррупции.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Влияние коррупции на экономическую систему государства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Влияние коррупции на экономическую систему государства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Раздел 4. Социальные отношения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4.2. Социальные нормы и конфликты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Правомерное поведение- как жизненный ориентир и ценность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Девиантное поведение. Правомерное поведение - как  жизненный ориентир и ценность.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Раздел 5. Право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5.3. Отрасли российского права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Понятие коррупции. Противодейстиве коррупции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Понятие коррупции. Противодействие коррупции.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Коррупционные правонарушения: виды, отвествтенность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Коррупционные правонарушения: виды, ответственность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Раздел 6. Политика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6.2. Участники политического процесса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Политические гарантии защиты от коррупции: право граждан участвовать в управлении делами государства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 xml:space="preserve">Выборы в демократическом обществе. Политические гарантии защиты от коррупции: право граждан участвовать в управлении делами государства. 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ru-RU"/>
              </w:rPr>
              <w:t>Роль СМИ в политической жизни общества. Политические гарантии защиты от коррупции: свобода средств массовой информации.</w:t>
            </w:r>
          </w:p>
        </w:tc>
        <w:tc>
          <w:tcPr>
            <w:tcW w:w="1637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  <w:t>МДК 03.01</w:t>
            </w:r>
          </w:p>
        </w:tc>
        <w:tc>
          <w:tcPr>
            <w:tcW w:w="19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>
            <w:pPr>
              <w:widowControl w:val="0"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 xml:space="preserve">Управление деятельностью структурных подразделений при выполнении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2"/>
                <w:szCs w:val="22"/>
                <w:highlight w:val="none"/>
                <w:lang w:val="en-US" w:bidi="ar"/>
              </w:rPr>
              <w:t>c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троительно-</w:t>
            </w:r>
          </w:p>
          <w:p>
            <w:pPr>
              <w:widowControl w:val="0"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2"/>
                <w:szCs w:val="22"/>
                <w:highlight w:val="none"/>
                <w:lang w:val="en-US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>монтажных, в том числе отделочных работ, эксплуатации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2"/>
                <w:szCs w:val="22"/>
                <w:highlight w:val="none"/>
                <w:lang w:val="ru-RU" w:bidi="ar"/>
              </w:rPr>
              <w:t>,</w:t>
            </w:r>
          </w:p>
          <w:p>
            <w:pPr>
              <w:widowControl w:val="0"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2"/>
                <w:szCs w:val="22"/>
                <w:highlight w:val="none"/>
                <w:lang w:bidi="ar"/>
              </w:rPr>
              <w:t xml:space="preserve"> ремонте и реконструкций зданий и сооружений  </w:t>
            </w:r>
          </w:p>
        </w:tc>
        <w:tc>
          <w:tcPr>
            <w:tcW w:w="6566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Понятие преступления и уголовная ответственность.</w:t>
            </w:r>
          </w:p>
        </w:tc>
        <w:tc>
          <w:tcPr>
            <w:tcW w:w="1637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Понятие коррупции.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Понятие и признаки преступлений, их классификация. Коррупция как социальное явление. Направления государственной антикоррупционной политики.</w:t>
            </w:r>
          </w:p>
        </w:tc>
        <w:tc>
          <w:tcPr>
            <w:tcW w:w="163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Правовая основа противодействия коррупции.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Основные принципы противодействия коррупции.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Меры по профилактике коррупции.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Государственная политика в сфере противодействия коррупции.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Коррупционные правоотношения: виды, ответственность.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vMerge w:val="restart"/>
            <w:tcBorders>
              <w:top w:val="single" w:color="auto" w:sz="4" w:space="0"/>
              <w:lef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bCs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Коррупционные правонарушения: виды, ответственность</w:t>
            </w:r>
          </w:p>
        </w:tc>
        <w:tc>
          <w:tcPr>
            <w:tcW w:w="1637" w:type="dxa"/>
            <w:vMerge w:val="restart"/>
            <w:tcBorders>
              <w:top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637" w:type="dxa"/>
            <w:vMerge w:val="continue"/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8" w:type="dxa"/>
            <w:vMerge w:val="continue"/>
            <w:tcBorders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9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6566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widowControl w:val="0"/>
              <w:spacing w:line="240" w:lineRule="auto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637" w:type="dxa"/>
            <w:vMerge w:val="continue"/>
            <w:noWrap w:val="0"/>
            <w:vAlign w:val="top"/>
          </w:tcPr>
          <w:p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</w:tbl>
    <w:p>
      <w:pPr>
        <w:spacing w:line="240" w:lineRule="auto"/>
        <w:rPr>
          <w:rFonts w:hint="default" w:ascii="Times New Roman" w:hAnsi="Times New Roman" w:cs="Times New Roman"/>
          <w:sz w:val="22"/>
          <w:szCs w:val="22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240" w:lineRule="auto"/>
        <w:ind w:left="660" w:leftChars="300" w:right="0" w:rightChars="0" w:firstLine="40" w:firstLineChars="0"/>
        <w:textAlignment w:val="auto"/>
        <w:outlineLvl w:val="9"/>
        <w:rPr>
          <w:rFonts w:hint="default" w:ascii="Times New Roman" w:hAnsi="Times New Roman" w:cs="Times New Roman"/>
          <w:sz w:val="22"/>
          <w:szCs w:val="22"/>
        </w:rPr>
        <w:sectPr>
          <w:pgSz w:w="16838" w:h="11906" w:orient="landscape"/>
          <w:pgMar w:top="1134" w:right="733" w:bottom="567" w:left="60" w:header="709" w:footer="709" w:gutter="0"/>
          <w:cols w:space="720" w:num="1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0" w:firstLineChars="0"/>
        <w:jc w:val="right"/>
        <w:textAlignment w:val="auto"/>
        <w:outlineLvl w:val="9"/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-180340</wp:posOffset>
            </wp:positionV>
            <wp:extent cx="10603230" cy="6814820"/>
            <wp:effectExtent l="0" t="0" r="7620" b="5080"/>
            <wp:wrapNone/>
            <wp:docPr id="9" name="Изображение 9" descr="Матрица  Ст 201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Матрица  Ст 2019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ПРИЛОЖЕНИЕ  2</w:t>
      </w:r>
      <w:r>
        <w:rPr>
          <w:rFonts w:hint="default"/>
          <w:lang w:val="ru-RU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  <w:rPr>
          <w:rFonts w:hint="default"/>
          <w:lang w:val="ru-RU"/>
        </w:rPr>
      </w:pPr>
      <w:r>
        <w:drawing>
          <wp:inline distT="0" distB="0" distL="114300" distR="114300">
            <wp:extent cx="9760585" cy="6064250"/>
            <wp:effectExtent l="0" t="0" r="12065" b="1270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  <w:r>
        <w:drawing>
          <wp:inline distT="0" distB="0" distL="114300" distR="114300">
            <wp:extent cx="9729470" cy="6066790"/>
            <wp:effectExtent l="0" t="0" r="5080" b="1016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947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  <w:sectPr>
          <w:pgSz w:w="16838" w:h="11906" w:orient="landscape"/>
          <w:pgMar w:top="1134" w:right="733" w:bottom="567" w:left="60" w:header="709" w:footer="709" w:gutter="0"/>
          <w:cols w:space="720" w:num="1"/>
        </w:sectPr>
      </w:pPr>
      <w:r>
        <w:drawing>
          <wp:inline distT="0" distB="0" distL="114300" distR="114300">
            <wp:extent cx="9715500" cy="5867400"/>
            <wp:effectExtent l="0" t="0" r="0" b="0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r>
        <w:drawing>
          <wp:inline distT="0" distB="0" distL="114300" distR="114300">
            <wp:extent cx="6474460" cy="8904605"/>
            <wp:effectExtent l="0" t="0" r="2540" b="10795"/>
            <wp:docPr id="5" name="Изображение 5" descr="ЛИСТ СОГЛАСОВАНИЯ СТ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ЛИСТ СОГЛАСОВАНИЯ СТ0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br w:type="page"/>
      </w:r>
      <w:r>
        <w:rPr>
          <w:rFonts w:hint="default"/>
          <w:lang w:val="ru-RU"/>
        </w:rPr>
        <w:drawing>
          <wp:inline distT="0" distB="0" distL="114300" distR="114300">
            <wp:extent cx="6474460" cy="8904605"/>
            <wp:effectExtent l="0" t="0" r="2540" b="10795"/>
            <wp:docPr id="8" name="Изображение 8" descr="ЛИСТ СОГЛАСОВАНИЯ СТ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ЛИСТ СОГЛАСОВАНИЯ СТ0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474460" cy="8904605"/>
            <wp:effectExtent l="0" t="0" r="2540" b="10795"/>
            <wp:docPr id="2" name="Изображение 2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an0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ind w:left="0" w:leftChars="0" w:right="0" w:rightChars="0" w:firstLine="700" w:firstLineChars="0"/>
        <w:textAlignment w:val="auto"/>
        <w:outlineLvl w:val="9"/>
        <w:rPr>
          <w:rFonts w:hint="default"/>
          <w:lang w:val="en-US"/>
        </w:rPr>
      </w:pPr>
      <w:r>
        <w:rPr>
          <w:rFonts w:hint="default"/>
          <w:lang w:val="ru-RU"/>
        </w:rPr>
        <w:drawing>
          <wp:inline distT="0" distB="0" distL="114300" distR="114300">
            <wp:extent cx="6094730" cy="9449435"/>
            <wp:effectExtent l="0" t="0" r="1270" b="18415"/>
            <wp:docPr id="10" name="Изображение 10" descr="Тит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Тит0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94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33" w:right="567" w:bottom="60" w:left="1134" w:header="709" w:footer="709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end"/>
    </w:r>
  </w:p>
  <w:p>
    <w:pPr>
      <w:pStyle w:val="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end"/>
    </w:r>
  </w:p>
  <w:p>
    <w:pPr>
      <w:pStyle w:val="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1ACF"/>
    <w:multiLevelType w:val="multilevel"/>
    <w:tmpl w:val="0E771ACF"/>
    <w:lvl w:ilvl="0" w:tentative="0">
      <w:start w:val="1"/>
      <w:numFmt w:val="bullet"/>
      <w:lvlText w:val="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26066E5B"/>
    <w:multiLevelType w:val="multilevel"/>
    <w:tmpl w:val="26066E5B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nsid w:val="764211AF"/>
    <w:multiLevelType w:val="multilevel"/>
    <w:tmpl w:val="764211AF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7EB67210"/>
    <w:multiLevelType w:val="multilevel"/>
    <w:tmpl w:val="7EB67210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250F61"/>
    <w:rsid w:val="00181DEF"/>
    <w:rsid w:val="00250F61"/>
    <w:rsid w:val="00311D53"/>
    <w:rsid w:val="00373F49"/>
    <w:rsid w:val="004B4E76"/>
    <w:rsid w:val="00522D11"/>
    <w:rsid w:val="00571376"/>
    <w:rsid w:val="0084121C"/>
    <w:rsid w:val="0094261B"/>
    <w:rsid w:val="00BF36EA"/>
    <w:rsid w:val="00D165CD"/>
    <w:rsid w:val="00E53F6B"/>
    <w:rsid w:val="015A3599"/>
    <w:rsid w:val="02386018"/>
    <w:rsid w:val="045032C2"/>
    <w:rsid w:val="07001844"/>
    <w:rsid w:val="09096A95"/>
    <w:rsid w:val="09494FB0"/>
    <w:rsid w:val="09CF34DA"/>
    <w:rsid w:val="0AD93D48"/>
    <w:rsid w:val="0AE00AE2"/>
    <w:rsid w:val="0AE26009"/>
    <w:rsid w:val="0B4108D9"/>
    <w:rsid w:val="0E387B97"/>
    <w:rsid w:val="0E431EC5"/>
    <w:rsid w:val="0FE76C61"/>
    <w:rsid w:val="10506543"/>
    <w:rsid w:val="117D0131"/>
    <w:rsid w:val="12980438"/>
    <w:rsid w:val="15593899"/>
    <w:rsid w:val="15D566CF"/>
    <w:rsid w:val="17707AED"/>
    <w:rsid w:val="191735D3"/>
    <w:rsid w:val="1C777A78"/>
    <w:rsid w:val="1C892595"/>
    <w:rsid w:val="1C977147"/>
    <w:rsid w:val="1CE37C94"/>
    <w:rsid w:val="1E143F84"/>
    <w:rsid w:val="1FC20E99"/>
    <w:rsid w:val="201E27F8"/>
    <w:rsid w:val="20BC50F2"/>
    <w:rsid w:val="224C2DE6"/>
    <w:rsid w:val="23A85E75"/>
    <w:rsid w:val="24566617"/>
    <w:rsid w:val="28D424B6"/>
    <w:rsid w:val="28E60716"/>
    <w:rsid w:val="29AB5345"/>
    <w:rsid w:val="2A154AB4"/>
    <w:rsid w:val="2B8433A3"/>
    <w:rsid w:val="2FFB1B7A"/>
    <w:rsid w:val="30B23E01"/>
    <w:rsid w:val="31020ED9"/>
    <w:rsid w:val="3198040E"/>
    <w:rsid w:val="31F3695F"/>
    <w:rsid w:val="344D2C38"/>
    <w:rsid w:val="35C4799A"/>
    <w:rsid w:val="369B03FF"/>
    <w:rsid w:val="3BE74A27"/>
    <w:rsid w:val="3CF24650"/>
    <w:rsid w:val="3E6D36D9"/>
    <w:rsid w:val="3F151098"/>
    <w:rsid w:val="3F6211A3"/>
    <w:rsid w:val="3F776CE0"/>
    <w:rsid w:val="3F9B22D9"/>
    <w:rsid w:val="3FD0196C"/>
    <w:rsid w:val="40456DC2"/>
    <w:rsid w:val="415F4AE9"/>
    <w:rsid w:val="41D67359"/>
    <w:rsid w:val="43641739"/>
    <w:rsid w:val="44246A09"/>
    <w:rsid w:val="45940C70"/>
    <w:rsid w:val="4671413F"/>
    <w:rsid w:val="470004FA"/>
    <w:rsid w:val="473E6042"/>
    <w:rsid w:val="47526554"/>
    <w:rsid w:val="47623732"/>
    <w:rsid w:val="48510FD2"/>
    <w:rsid w:val="48901184"/>
    <w:rsid w:val="490D1A0B"/>
    <w:rsid w:val="4A3A173B"/>
    <w:rsid w:val="4B687D35"/>
    <w:rsid w:val="4C182165"/>
    <w:rsid w:val="4CC03225"/>
    <w:rsid w:val="4F9034C8"/>
    <w:rsid w:val="4F9767DA"/>
    <w:rsid w:val="51922EC9"/>
    <w:rsid w:val="519C38C2"/>
    <w:rsid w:val="52E36446"/>
    <w:rsid w:val="52FD3DA1"/>
    <w:rsid w:val="53212559"/>
    <w:rsid w:val="54DD2B11"/>
    <w:rsid w:val="550D0152"/>
    <w:rsid w:val="562E4F86"/>
    <w:rsid w:val="569C219B"/>
    <w:rsid w:val="57EC2C99"/>
    <w:rsid w:val="5A2A57F9"/>
    <w:rsid w:val="5C4A70FB"/>
    <w:rsid w:val="5DFF5AD8"/>
    <w:rsid w:val="5EF005C6"/>
    <w:rsid w:val="5F355FA8"/>
    <w:rsid w:val="5FFD2A76"/>
    <w:rsid w:val="61773B29"/>
    <w:rsid w:val="63B14083"/>
    <w:rsid w:val="63D5525F"/>
    <w:rsid w:val="668B1409"/>
    <w:rsid w:val="6742646E"/>
    <w:rsid w:val="682C4DAE"/>
    <w:rsid w:val="6A536F64"/>
    <w:rsid w:val="6A650610"/>
    <w:rsid w:val="6ADE0169"/>
    <w:rsid w:val="6B02333C"/>
    <w:rsid w:val="6C975C2D"/>
    <w:rsid w:val="6DBB1CE5"/>
    <w:rsid w:val="6F0B4D7E"/>
    <w:rsid w:val="723D56C2"/>
    <w:rsid w:val="73DE0ACB"/>
    <w:rsid w:val="74386FFA"/>
    <w:rsid w:val="74F66D48"/>
    <w:rsid w:val="755573EE"/>
    <w:rsid w:val="76B479AD"/>
    <w:rsid w:val="772D7EE4"/>
    <w:rsid w:val="78AD5A0B"/>
    <w:rsid w:val="78B03235"/>
    <w:rsid w:val="79D74D99"/>
    <w:rsid w:val="7A042FDA"/>
    <w:rsid w:val="7AE745A8"/>
    <w:rsid w:val="7DF323D9"/>
    <w:rsid w:val="7E6A0E7C"/>
    <w:rsid w:val="7EAA1ED4"/>
    <w:rsid w:val="7F170E66"/>
    <w:rsid w:val="7FDE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iPriority="99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semiHidden="0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3"/>
    <w:basedOn w:val="1"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3">
    <w:name w:val="footnote text"/>
    <w:basedOn w:val="1"/>
    <w:unhideWhenUsed/>
    <w:qFormat/>
    <w:uiPriority w:val="99"/>
    <w:pPr>
      <w:spacing w:after="0" w:line="240" w:lineRule="auto"/>
    </w:pPr>
    <w:rPr>
      <w:rFonts w:ascii="Times New Roman" w:hAnsi="Times New Roman"/>
      <w:sz w:val="20"/>
      <w:szCs w:val="20"/>
      <w:lang w:val="en-US" w:eastAsia="zh-CN"/>
    </w:rPr>
  </w:style>
  <w:style w:type="paragraph" w:styleId="4">
    <w:name w:val="Body Text"/>
    <w:basedOn w:val="1"/>
    <w:unhideWhenUsed/>
    <w:qFormat/>
    <w:uiPriority w:val="99"/>
    <w:pPr>
      <w:spacing w:after="120"/>
    </w:pPr>
  </w:style>
  <w:style w:type="paragraph" w:styleId="5">
    <w:name w:val="footer"/>
    <w:basedOn w:val="1"/>
    <w:unhideWhenUsed/>
    <w:qFormat/>
    <w:uiPriority w:val="99"/>
    <w:pPr>
      <w:tabs>
        <w:tab w:val="center" w:pos="4677"/>
        <w:tab w:val="right" w:pos="9355"/>
      </w:tabs>
    </w:pPr>
  </w:style>
  <w:style w:type="paragraph" w:styleId="6">
    <w:name w:val="List"/>
    <w:basedOn w:val="4"/>
    <w:unhideWhenUsed/>
    <w:qFormat/>
    <w:uiPriority w:val="99"/>
    <w:pPr>
      <w:ind w:left="283" w:hanging="283"/>
      <w:contextualSpacing/>
    </w:pPr>
  </w:style>
  <w:style w:type="paragraph" w:styleId="7">
    <w:name w:val="Normal (Web)"/>
    <w:basedOn w:val="1"/>
    <w:unhideWhenUsed/>
    <w:qFormat/>
    <w:uiPriority w:val="99"/>
    <w:pPr>
      <w:spacing w:before="100" w:after="100"/>
    </w:pPr>
  </w:style>
  <w:style w:type="paragraph" w:styleId="8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10">
    <w:name w:val="footnote reference"/>
    <w:unhideWhenUsed/>
    <w:qFormat/>
    <w:uiPriority w:val="99"/>
    <w:rPr>
      <w:rFonts w:cs="Times New Roman"/>
      <w:vertAlign w:val="superscript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page number"/>
    <w:basedOn w:val="9"/>
    <w:unhideWhenUsed/>
    <w:qFormat/>
    <w:uiPriority w:val="99"/>
  </w:style>
  <w:style w:type="character" w:styleId="13">
    <w:name w:val="Strong"/>
    <w:qFormat/>
    <w:uiPriority w:val="22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_Style 3"/>
    <w:basedOn w:val="1"/>
    <w:qFormat/>
    <w:uiPriority w:val="1"/>
    <w:rPr>
      <w:rFonts w:ascii="Cambria" w:hAnsi="Cambria" w:eastAsia="Calibri"/>
      <w:sz w:val="22"/>
      <w:szCs w:val="22"/>
      <w:lang w:eastAsia="en-US"/>
    </w:rPr>
  </w:style>
  <w:style w:type="paragraph" w:customStyle="1" w:styleId="17">
    <w:name w:val="Default"/>
    <w:qFormat/>
    <w:uiPriority w:val="0"/>
    <w:pPr>
      <w:autoSpaceDE w:val="0"/>
      <w:autoSpaceDN w:val="0"/>
      <w:adjustRightInd w:val="0"/>
    </w:pPr>
    <w:rPr>
      <w:rFonts w:eastAsia="Calibri" w:asciiTheme="minorHAnsi" w:hAnsiTheme="minorHAnsi" w:cstheme="minorBidi"/>
      <w:color w:val="000000"/>
      <w:sz w:val="24"/>
      <w:szCs w:val="24"/>
      <w:lang w:val="ru-RU" w:eastAsia="ru-RU" w:bidi="ar-SA"/>
    </w:rPr>
  </w:style>
  <w:style w:type="paragraph" w:customStyle="1" w:styleId="18">
    <w:name w:val="_Style 4"/>
    <w:basedOn w:val="1"/>
    <w:qFormat/>
    <w:uiPriority w:val="34"/>
    <w:pPr>
      <w:ind w:left="720"/>
      <w:contextualSpacing/>
    </w:pPr>
  </w:style>
  <w:style w:type="paragraph" w:customStyle="1" w:styleId="19">
    <w:name w:val="c9"/>
    <w:basedOn w:val="1"/>
    <w:qFormat/>
    <w:uiPriority w:val="0"/>
    <w:pPr>
      <w:spacing w:before="90" w:after="90"/>
    </w:pPr>
  </w:style>
  <w:style w:type="character" w:customStyle="1" w:styleId="20">
    <w:name w:val="c1"/>
    <w:qFormat/>
    <w:uiPriority w:val="0"/>
  </w:style>
  <w:style w:type="paragraph" w:customStyle="1" w:styleId="21">
    <w:name w:val="c12"/>
    <w:basedOn w:val="1"/>
    <w:qFormat/>
    <w:uiPriority w:val="0"/>
    <w:pPr>
      <w:spacing w:before="90" w:after="90"/>
    </w:pPr>
  </w:style>
  <w:style w:type="paragraph" w:customStyle="1" w:styleId="22">
    <w:name w:val="Основной текст (2)3"/>
    <w:basedOn w:val="1"/>
    <w:qFormat/>
    <w:uiPriority w:val="0"/>
    <w:pPr>
      <w:shd w:val="clear" w:color="auto" w:fill="FFFFFF"/>
      <w:spacing w:before="60" w:line="250" w:lineRule="exact"/>
      <w:ind w:hanging="1420"/>
      <w:jc w:val="center"/>
    </w:pPr>
    <w:rPr>
      <w:rFonts w:ascii="Times New Roman" w:hAnsi="Times New Roman" w:eastAsia="Times New Roman" w:cs="Times New Roman"/>
    </w:rPr>
  </w:style>
  <w:style w:type="paragraph" w:customStyle="1" w:styleId="23">
    <w:name w:val="ConsPlus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850</Words>
  <Characters>4846</Characters>
  <Lines>40</Lines>
  <Paragraphs>11</Paragraphs>
  <TotalTime>4</TotalTime>
  <ScaleCrop>false</ScaleCrop>
  <LinksUpToDate>false</LinksUpToDate>
  <CharactersWithSpaces>5685</CharactersWithSpaces>
  <Application>WPS Office_11.2.0.9085_F1E327BC-269C-435d-A152-05C5408002CA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2018-09-30T05:42:00Z</dcterms:created>
  <dc:creator>Светлана</dc:creator>
  <cp:lastModifiedBy>fss</cp:lastModifiedBy>
  <cp:lastPrinted>2020-02-29T09:59:00Z</cp:lastPrinted>
  <dcterms:modified xsi:type="dcterms:W3CDTF">2020-11-11T04:39:14Z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1049-11.2.0.9085</vt:lpwstr>
  </property>
</Properties>
</file>